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98251677"/>
        <w:docPartObj>
          <w:docPartGallery w:val="Cover Pages"/>
          <w:docPartUnique/>
        </w:docPartObj>
      </w:sdtPr>
      <w:sdtEndPr>
        <w:rPr>
          <w:rFonts w:ascii="Cachet Bold" w:hAnsi="Cachet Bold"/>
          <w:color w:val="7030A0"/>
          <w:sz w:val="24"/>
          <w:szCs w:val="24"/>
        </w:rPr>
      </w:sdtEndPr>
      <w:sdtContent>
        <w:p w:rsidR="000D15AB" w:rsidRDefault="000D15AB" w:rsidP="000D15AB"/>
        <w:p w:rsidR="000D15AB" w:rsidRDefault="00364DC5" w:rsidP="000D15AB">
          <w:r>
            <w:rPr>
              <w:noProof/>
            </w:rPr>
            <mc:AlternateContent>
              <mc:Choice Requires="wps">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772400" cy="10058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5AB" w:rsidRDefault="000D15AB" w:rsidP="000D15AB">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875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eafgIAAAgFAAAOAAAAZHJzL2Uyb0RvYy54bWysVNuO2yAQfa/Uf0C8J77IudhaZ7WXpqqU&#10;tqtu+wEEcIyKgQKJk6767x1wks22faiq+gEzMBzOzJnh6nrfSbTj1gmtapyNU4y4opoJtanxl8/L&#10;0Rwj54liRGrFa3zgDl8vXr+66k3Fc91qybhFAKJc1Zsat96bKkkcbXlH3FgbrmCz0bYjHky7SZgl&#10;PaB3MsnTdJr02jJjNeXOwer9sIkXEb9pOPUfm8Zxj2SNgZuPo43jOozJ4opUG0tMK+iRBvkHFh0R&#10;Ci49Q90TT9DWit+gOkGtdrrxY6q7RDeNoDzGANFk6S/RPLbE8BgLJMeZc5rc/4OlH3YPFgkG2mGk&#10;SAcSfYKkEbWRHOUhPb1xFXg9mgcbAnRmpelXh5S+a8GL31ir+5YTBqSy4J+8OBAMB0fRun+vGaCT&#10;rdcxU/vGdgEQcoD2UZDDWRC+94jC4mw2y4sUdKOwl6XpZB6scAmpTueNdf4t1x0KkxpbYB/xyW7l&#10;/OB6con8tRRsKaSMht2s76RFOwLlsYzfEd1dukkVnJUOxwbEYQVowh1hLxCOcj+VGTC+zcvRcjqf&#10;jYplMRmVs3Q+SrPytpymRVncL38EgllRtYIxrlZC8VPpZcXfSXtsgqFoYvGhvsblJJ/E2F+wd5dB&#10;pvH7U5Cd8NCJUnQ1np+dSBWkfaMYhE0qT4Qc5slL+lEQyMHpH7MSCyFoP9SQ36/3gBIKYq3ZAUrC&#10;atALxIXnAyattt8x6qEVa+y+bYnlGMl3CsqqzIoi9G40isksB8Ne7qwvd4iiAFVjj9EwvfNDv2+N&#10;FZsWbspijpS+gVJsRKyRZ1bHAoZ2i8Ecn4bQz5d29Hp+wBY/AQAA//8DAFBLAwQUAAYACAAAACEA&#10;JKX3MtsAAAAHAQAADwAAAGRycy9kb3ducmV2LnhtbEyPQUvEMBCF74L/IYzgzU0tKkttuiyK4kGQ&#10;rR48ZpuxKU0mtUm79d8768W9DO/xhjfflJvFOzHjGLtACq5XGQikJpiOWgUf709XaxAxaTLaBUIF&#10;PxhhU52flbow4UA7nOvUCi6hWGgFNqWhkDI2Fr2OqzAgcfYVRq8T27GVZtQHLvdO5ll2J73uiC9Y&#10;PeCDxaavJ69g+53P/WP9+mK7N/e8w8++mWKv1OXFsr0HkXBJ/8twxGd0qJhpHyYyUTgF/Ej6m8cs&#10;z2/Y71ndrlnJqpSn/NUvAAAA//8DAFBLAQItABQABgAIAAAAIQC2gziS/gAAAOEBAAATAAAAAAAA&#10;AAAAAAAAAAAAAABbQ29udGVudF9UeXBlc10ueG1sUEsBAi0AFAAGAAgAAAAhADj9If/WAAAAlAEA&#10;AAsAAAAAAAAAAAAAAAAALwEAAF9yZWxzLy5yZWxzUEsBAi0AFAAGAAgAAAAhAMnBR5p+AgAACAUA&#10;AA4AAAAAAAAAAAAAAAAALgIAAGRycy9lMm9Eb2MueG1sUEsBAi0AFAAGAAgAAAAhACSl9zLbAAAA&#10;BwEAAA8AAAAAAAAAAAAAAAAA2AQAAGRycy9kb3ducmV2LnhtbFBLBQYAAAAABAAEAPMAAADgBQAA&#10;AAA=&#10;" o:allowincell="f" stroked="f">
                    <v:textbox>
                      <w:txbxContent>
                        <w:p w:rsidR="000D15AB" w:rsidRDefault="000D15AB" w:rsidP="000D15AB">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mc:Fallback>
            </mc:AlternateContent>
          </w:r>
        </w:p>
        <w:p w:rsidR="000D15AB" w:rsidRDefault="000D15AB" w:rsidP="000D15AB"/>
        <w:tbl>
          <w:tblPr>
            <w:tblW w:w="4050"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8651"/>
          </w:tblGrid>
          <w:tr w:rsidR="000D15AB" w:rsidTr="009B3FF6">
            <w:trPr>
              <w:trHeight w:val="11139"/>
              <w:jc w:val="center"/>
            </w:trPr>
            <w:tc>
              <w:tcPr>
                <w:tcW w:w="5000" w:type="pct"/>
                <w:shd w:val="clear" w:color="auto" w:fill="FFFFFF" w:themeFill="background1"/>
                <w:vAlign w:val="center"/>
              </w:tcPr>
              <w:p w:rsidR="00467D1D" w:rsidRDefault="00467D1D" w:rsidP="00467D1D">
                <w:pPr>
                  <w:pStyle w:val="Heading1"/>
                  <w:tabs>
                    <w:tab w:val="left" w:pos="611"/>
                    <w:tab w:val="center" w:pos="5112"/>
                  </w:tabs>
                  <w:spacing w:before="0" w:line="240" w:lineRule="auto"/>
                  <w:rPr>
                    <w:rFonts w:ascii="Verdana" w:hAnsi="Verdana"/>
                    <w:color w:val="943634"/>
                    <w:sz w:val="52"/>
                    <w:szCs w:val="52"/>
                  </w:rPr>
                </w:pPr>
              </w:p>
              <w:p w:rsidR="000D15AB" w:rsidRPr="006348D5" w:rsidRDefault="00364DC5" w:rsidP="00467D1D">
                <w:pPr>
                  <w:pStyle w:val="Heading1"/>
                  <w:tabs>
                    <w:tab w:val="left" w:pos="611"/>
                    <w:tab w:val="center" w:pos="5112"/>
                  </w:tabs>
                  <w:spacing w:before="0" w:line="240" w:lineRule="auto"/>
                  <w:jc w:val="center"/>
                  <w:rPr>
                    <w:rFonts w:ascii="Verdana" w:hAnsi="Verdana"/>
                    <w:color w:val="943634"/>
                    <w:sz w:val="52"/>
                    <w:szCs w:val="52"/>
                  </w:rPr>
                </w:pPr>
                <w:r>
                  <w:rPr>
                    <w:rFonts w:ascii="Verdana" w:hAnsi="Verdana"/>
                    <w:color w:val="943634"/>
                    <w:sz w:val="52"/>
                    <w:szCs w:val="52"/>
                  </w:rPr>
                  <w:t>THE</w:t>
                </w:r>
                <w:r w:rsidR="000D15AB" w:rsidRPr="006348D5">
                  <w:rPr>
                    <w:rFonts w:ascii="Verdana" w:hAnsi="Verdana"/>
                    <w:color w:val="943634"/>
                    <w:sz w:val="52"/>
                    <w:szCs w:val="52"/>
                  </w:rPr>
                  <w:t xml:space="preserve"> PROMISE</w:t>
                </w:r>
              </w:p>
              <w:p w:rsidR="000D15AB" w:rsidRDefault="000D15AB" w:rsidP="00265312">
                <w:pPr>
                  <w:pStyle w:val="Heading1"/>
                  <w:spacing w:before="0" w:line="240" w:lineRule="auto"/>
                  <w:jc w:val="center"/>
                  <w:rPr>
                    <w:rFonts w:ascii="Verdana" w:hAnsi="Verdana"/>
                    <w:color w:val="auto"/>
                    <w:sz w:val="28"/>
                    <w:szCs w:val="28"/>
                  </w:rPr>
                </w:pPr>
                <w:r w:rsidRPr="000A0114">
                  <w:rPr>
                    <w:rFonts w:ascii="Verdana" w:hAnsi="Verdana"/>
                    <w:color w:val="auto"/>
                    <w:sz w:val="28"/>
                    <w:szCs w:val="28"/>
                  </w:rPr>
                  <w:t>A COLLEGE AND CAREER READINESS INITI</w:t>
                </w:r>
                <w:r>
                  <w:rPr>
                    <w:rFonts w:ascii="Verdana" w:hAnsi="Verdana"/>
                    <w:color w:val="auto"/>
                    <w:sz w:val="28"/>
                    <w:szCs w:val="28"/>
                  </w:rPr>
                  <w:t>A</w:t>
                </w:r>
                <w:r w:rsidRPr="000A0114">
                  <w:rPr>
                    <w:rFonts w:ascii="Verdana" w:hAnsi="Verdana"/>
                    <w:color w:val="auto"/>
                    <w:sz w:val="28"/>
                    <w:szCs w:val="28"/>
                  </w:rPr>
                  <w:t>TIVE</w:t>
                </w:r>
              </w:p>
              <w:p w:rsidR="000D15AB" w:rsidRDefault="000D15AB" w:rsidP="00D7204A">
                <w:pPr>
                  <w:pStyle w:val="Header"/>
                  <w:jc w:val="center"/>
                </w:pPr>
              </w:p>
              <w:p w:rsidR="00467D1D" w:rsidRDefault="00467D1D" w:rsidP="00D7204A">
                <w:pPr>
                  <w:pStyle w:val="Header"/>
                  <w:jc w:val="center"/>
                </w:pPr>
                <w:r w:rsidRPr="00467D1D">
                  <w:rPr>
                    <w:noProof/>
                  </w:rPr>
                  <w:drawing>
                    <wp:inline distT="0" distB="0" distL="0" distR="0">
                      <wp:extent cx="1557234" cy="1086928"/>
                      <wp:effectExtent l="19050" t="0" r="4866" b="0"/>
                      <wp:docPr id="9" name="Picture 2" descr="wc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plogo.png"/>
                              <pic:cNvPicPr/>
                            </pic:nvPicPr>
                            <pic:blipFill>
                              <a:blip r:embed="rId9" cstate="print"/>
                              <a:stretch>
                                <a:fillRect/>
                              </a:stretch>
                            </pic:blipFill>
                            <pic:spPr>
                              <a:xfrm>
                                <a:off x="0" y="0"/>
                                <a:ext cx="1554782" cy="1085217"/>
                              </a:xfrm>
                              <a:prstGeom prst="rect">
                                <a:avLst/>
                              </a:prstGeom>
                            </pic:spPr>
                          </pic:pic>
                        </a:graphicData>
                      </a:graphic>
                    </wp:inline>
                  </w:drawing>
                </w:r>
              </w:p>
              <w:p w:rsidR="00467D1D" w:rsidRDefault="00467D1D" w:rsidP="00D7204A">
                <w:pPr>
                  <w:pStyle w:val="Header"/>
                  <w:jc w:val="center"/>
                </w:pPr>
              </w:p>
              <w:p w:rsidR="00467D1D" w:rsidRDefault="00467D1D" w:rsidP="00D7204A">
                <w:pPr>
                  <w:pStyle w:val="Header"/>
                  <w:jc w:val="center"/>
                </w:pPr>
              </w:p>
              <w:p w:rsidR="00467D1D" w:rsidRDefault="00467D1D" w:rsidP="00D7204A">
                <w:pPr>
                  <w:pStyle w:val="Header"/>
                  <w:jc w:val="center"/>
                </w:pPr>
              </w:p>
              <w:p w:rsidR="00467D1D" w:rsidRDefault="00467D1D" w:rsidP="00D7204A">
                <w:pPr>
                  <w:pStyle w:val="Header"/>
                  <w:jc w:val="center"/>
                </w:pPr>
              </w:p>
              <w:p w:rsidR="00467D1D" w:rsidRDefault="00467D1D" w:rsidP="00D7204A">
                <w:pPr>
                  <w:pStyle w:val="Header"/>
                  <w:jc w:val="center"/>
                </w:pPr>
              </w:p>
              <w:p w:rsidR="00467D1D" w:rsidRDefault="00467D1D" w:rsidP="00D7204A">
                <w:pPr>
                  <w:pStyle w:val="Header"/>
                  <w:jc w:val="center"/>
                </w:pPr>
              </w:p>
              <w:p w:rsidR="00467D1D" w:rsidRDefault="00467D1D" w:rsidP="00D7204A">
                <w:pPr>
                  <w:pStyle w:val="Header"/>
                  <w:jc w:val="center"/>
                </w:pPr>
              </w:p>
              <w:p w:rsidR="00467D1D" w:rsidRDefault="00467D1D" w:rsidP="00D7204A">
                <w:pPr>
                  <w:pStyle w:val="Header"/>
                  <w:jc w:val="center"/>
                </w:pPr>
              </w:p>
              <w:p w:rsidR="00467D1D" w:rsidRDefault="00467D1D" w:rsidP="00D7204A">
                <w:pPr>
                  <w:pStyle w:val="Header"/>
                  <w:jc w:val="center"/>
                </w:pPr>
              </w:p>
              <w:p w:rsidR="00E16FB7" w:rsidRDefault="00E16FB7" w:rsidP="00D7204A">
                <w:pPr>
                  <w:pStyle w:val="Header"/>
                  <w:jc w:val="center"/>
                </w:pPr>
              </w:p>
              <w:p w:rsidR="00E16FB7" w:rsidRDefault="00E16FB7" w:rsidP="00D7204A">
                <w:pPr>
                  <w:pStyle w:val="Header"/>
                  <w:jc w:val="center"/>
                </w:pPr>
              </w:p>
              <w:p w:rsidR="00E16FB7" w:rsidRDefault="00E16FB7" w:rsidP="00D7204A">
                <w:pPr>
                  <w:pStyle w:val="Header"/>
                  <w:jc w:val="center"/>
                </w:pPr>
              </w:p>
              <w:p w:rsidR="00E16FB7" w:rsidRDefault="00E16FB7" w:rsidP="00D7204A">
                <w:pPr>
                  <w:pStyle w:val="Header"/>
                  <w:jc w:val="center"/>
                </w:pPr>
              </w:p>
              <w:p w:rsidR="00467D1D" w:rsidRDefault="00467D1D" w:rsidP="00D7204A">
                <w:pPr>
                  <w:pStyle w:val="Header"/>
                  <w:jc w:val="center"/>
                </w:pPr>
              </w:p>
              <w:p w:rsidR="00467D1D" w:rsidRDefault="00467D1D" w:rsidP="00D7204A">
                <w:pPr>
                  <w:pStyle w:val="Header"/>
                  <w:jc w:val="center"/>
                </w:pPr>
              </w:p>
              <w:p w:rsidR="00467D1D" w:rsidRDefault="00467D1D" w:rsidP="00D7204A">
                <w:pPr>
                  <w:pStyle w:val="Header"/>
                  <w:jc w:val="center"/>
                </w:pPr>
              </w:p>
              <w:sdt>
                <w:sdtPr>
                  <w:rPr>
                    <w:rFonts w:ascii="Verdana" w:hAnsi="Verdana"/>
                    <w:b/>
                    <w:sz w:val="44"/>
                    <w:szCs w:val="44"/>
                  </w:rPr>
                  <w:alias w:val="Date"/>
                  <w:id w:val="1378322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467D1D" w:rsidRPr="00E16FB7" w:rsidRDefault="000D15AB" w:rsidP="000A1293">
                    <w:pPr>
                      <w:pStyle w:val="NoSpacing"/>
                      <w:jc w:val="center"/>
                      <w:rPr>
                        <w:rFonts w:ascii="Verdana" w:hAnsi="Verdana"/>
                        <w:b/>
                        <w:sz w:val="44"/>
                        <w:szCs w:val="44"/>
                      </w:rPr>
                    </w:pPr>
                    <w:r>
                      <w:rPr>
                        <w:rFonts w:ascii="Verdana" w:hAnsi="Verdana"/>
                        <w:b/>
                        <w:sz w:val="44"/>
                        <w:szCs w:val="44"/>
                      </w:rPr>
                      <w:t>Teacher Toolkit</w:t>
                    </w:r>
                  </w:p>
                </w:sdtContent>
              </w:sdt>
              <w:p w:rsidR="00D7204A" w:rsidRPr="00D7204A" w:rsidRDefault="00D25EF9" w:rsidP="00D25EF9">
                <w:pPr>
                  <w:pStyle w:val="NoSpacing"/>
                  <w:rPr>
                    <w:rFonts w:ascii="Verdana" w:hAnsi="Verdana"/>
                    <w:b/>
                    <w:sz w:val="24"/>
                    <w:szCs w:val="24"/>
                  </w:rPr>
                </w:pPr>
                <w:r>
                  <w:rPr>
                    <w:rFonts w:ascii="Verdana" w:hAnsi="Verdana"/>
                    <w:b/>
                    <w:sz w:val="24"/>
                    <w:szCs w:val="24"/>
                  </w:rPr>
                  <w:t xml:space="preserve">         </w:t>
                </w:r>
              </w:p>
              <w:p w:rsidR="00D7204A" w:rsidRPr="00D21366" w:rsidRDefault="00D7204A" w:rsidP="00265312">
                <w:pPr>
                  <w:pStyle w:val="NoSpacing"/>
                  <w:jc w:val="center"/>
                  <w:rPr>
                    <w:rFonts w:ascii="Verdana" w:hAnsi="Verdana"/>
                    <w:b/>
                    <w:sz w:val="44"/>
                    <w:szCs w:val="44"/>
                  </w:rPr>
                </w:pPr>
              </w:p>
              <w:p w:rsidR="000D15AB" w:rsidRDefault="000D15AB" w:rsidP="00265312">
                <w:pPr>
                  <w:pStyle w:val="NoSpacing"/>
                  <w:jc w:val="center"/>
                </w:pPr>
              </w:p>
            </w:tc>
          </w:tr>
        </w:tbl>
        <w:p w:rsidR="000D15AB" w:rsidRDefault="000D15AB" w:rsidP="000D15AB"/>
        <w:p w:rsidR="000D15AB" w:rsidRDefault="000D15AB" w:rsidP="000D15AB">
          <w:pPr>
            <w:rPr>
              <w:rFonts w:ascii="Cachet Bold" w:eastAsia="Times New Roman" w:hAnsi="Cachet Bold" w:cs="Times New Roman"/>
              <w:b/>
              <w:bCs/>
              <w:color w:val="7030A0"/>
              <w:sz w:val="24"/>
              <w:szCs w:val="24"/>
            </w:rPr>
          </w:pPr>
          <w:r>
            <w:rPr>
              <w:rFonts w:ascii="Cachet Bold" w:hAnsi="Cachet Bold"/>
              <w:color w:val="7030A0"/>
              <w:sz w:val="24"/>
              <w:szCs w:val="24"/>
            </w:rPr>
            <w:br w:type="page"/>
          </w:r>
        </w:p>
      </w:sdtContent>
    </w:sdt>
    <w:p w:rsidR="000D15AB" w:rsidRPr="00D21366" w:rsidRDefault="000D15AB" w:rsidP="000D15AB">
      <w:pPr>
        <w:pStyle w:val="Heading1"/>
        <w:tabs>
          <w:tab w:val="left" w:pos="611"/>
          <w:tab w:val="center" w:pos="5112"/>
        </w:tabs>
        <w:spacing w:before="0" w:line="240" w:lineRule="auto"/>
        <w:rPr>
          <w:rFonts w:ascii="Cachet Bold" w:hAnsi="Cachet Bold"/>
          <w:color w:val="7030A0"/>
          <w:sz w:val="24"/>
          <w:szCs w:val="24"/>
        </w:rPr>
        <w:sectPr w:rsidR="000D15AB" w:rsidRPr="00D21366" w:rsidSect="00D21366">
          <w:headerReference w:type="default" r:id="rId10"/>
          <w:pgSz w:w="12240" w:h="15840"/>
          <w:pgMar w:top="720" w:right="720" w:bottom="720" w:left="720" w:header="720" w:footer="720" w:gutter="0"/>
          <w:cols w:space="720"/>
          <w:titlePg/>
          <w:docGrid w:linePitch="360"/>
        </w:sectPr>
      </w:pPr>
    </w:p>
    <w:p w:rsidR="000D15AB" w:rsidRDefault="000D15AB" w:rsidP="000D15AB">
      <w:pPr>
        <w:spacing w:after="0" w:line="240" w:lineRule="auto"/>
        <w:rPr>
          <w:rFonts w:ascii="Verdana" w:hAnsi="Verdana"/>
          <w:b/>
          <w:sz w:val="26"/>
          <w:szCs w:val="26"/>
        </w:rPr>
      </w:pPr>
      <w:r>
        <w:rPr>
          <w:rFonts w:ascii="Verdana" w:hAnsi="Verdana"/>
          <w:b/>
          <w:sz w:val="26"/>
          <w:szCs w:val="26"/>
        </w:rPr>
        <w:lastRenderedPageBreak/>
        <w:t>Welcome to the Teacher Toolkit!</w:t>
      </w:r>
    </w:p>
    <w:p w:rsidR="000D15AB" w:rsidRDefault="000D15AB" w:rsidP="000D15AB">
      <w:pPr>
        <w:spacing w:after="0" w:line="240" w:lineRule="auto"/>
        <w:rPr>
          <w:rFonts w:ascii="Verdana" w:hAnsi="Verdana"/>
        </w:rPr>
      </w:pPr>
    </w:p>
    <w:p w:rsidR="000D15AB" w:rsidRDefault="000D15AB" w:rsidP="000D15AB">
      <w:pPr>
        <w:spacing w:after="0" w:line="240" w:lineRule="auto"/>
        <w:rPr>
          <w:rFonts w:ascii="Verdana" w:hAnsi="Verdana"/>
        </w:rPr>
      </w:pPr>
      <w:r w:rsidRPr="00E63214">
        <w:rPr>
          <w:rFonts w:ascii="Verdana" w:hAnsi="Verdana"/>
        </w:rPr>
        <w:t xml:space="preserve">We are very excited </w:t>
      </w:r>
      <w:r>
        <w:rPr>
          <w:rFonts w:ascii="Verdana" w:hAnsi="Verdana"/>
        </w:rPr>
        <w:t>that you are joining us</w:t>
      </w:r>
      <w:r w:rsidRPr="00E63214">
        <w:rPr>
          <w:rFonts w:ascii="Verdana" w:hAnsi="Verdana"/>
        </w:rPr>
        <w:t xml:space="preserve"> </w:t>
      </w:r>
      <w:r>
        <w:rPr>
          <w:rFonts w:ascii="Verdana" w:hAnsi="Verdana"/>
        </w:rPr>
        <w:t>as we help</w:t>
      </w:r>
      <w:r w:rsidR="00A8553D">
        <w:rPr>
          <w:rFonts w:ascii="Verdana" w:hAnsi="Verdana"/>
        </w:rPr>
        <w:t xml:space="preserve"> youth</w:t>
      </w:r>
      <w:bookmarkStart w:id="0" w:name="_GoBack"/>
      <w:bookmarkEnd w:id="0"/>
      <w:r w:rsidRPr="00E63214">
        <w:rPr>
          <w:rFonts w:ascii="Verdana" w:hAnsi="Verdana"/>
        </w:rPr>
        <w:t xml:space="preserve"> to dream for their futures! Here </w:t>
      </w:r>
      <w:r>
        <w:rPr>
          <w:rFonts w:ascii="Verdana" w:hAnsi="Verdana"/>
        </w:rPr>
        <w:t xml:space="preserve">in the toolkit </w:t>
      </w:r>
      <w:r w:rsidRPr="00E63214">
        <w:rPr>
          <w:rFonts w:ascii="Verdana" w:hAnsi="Verdana"/>
        </w:rPr>
        <w:t xml:space="preserve">you will find a variety of activities </w:t>
      </w:r>
      <w:r>
        <w:rPr>
          <w:rFonts w:ascii="Verdana" w:hAnsi="Verdana"/>
        </w:rPr>
        <w:t xml:space="preserve">you can use </w:t>
      </w:r>
      <w:r w:rsidRPr="00E63214">
        <w:rPr>
          <w:rFonts w:ascii="Verdana" w:hAnsi="Verdana"/>
        </w:rPr>
        <w:t xml:space="preserve">to build context and excitement for the Promise and “Walk </w:t>
      </w:r>
      <w:proofErr w:type="gramStart"/>
      <w:r w:rsidRPr="00E63214">
        <w:rPr>
          <w:rFonts w:ascii="Verdana" w:hAnsi="Verdana"/>
        </w:rPr>
        <w:t>Into</w:t>
      </w:r>
      <w:proofErr w:type="gramEnd"/>
      <w:r w:rsidRPr="00E63214">
        <w:rPr>
          <w:rFonts w:ascii="Verdana" w:hAnsi="Verdana"/>
        </w:rPr>
        <w:t xml:space="preserve"> My Future”</w:t>
      </w:r>
      <w:r>
        <w:rPr>
          <w:rFonts w:ascii="Verdana" w:hAnsi="Verdana"/>
        </w:rPr>
        <w:t xml:space="preserve"> event.</w:t>
      </w:r>
    </w:p>
    <w:p w:rsidR="000D15AB" w:rsidRDefault="000D15AB" w:rsidP="000D15AB">
      <w:pPr>
        <w:spacing w:after="0" w:line="240" w:lineRule="auto"/>
        <w:rPr>
          <w:rFonts w:ascii="Verdana" w:hAnsi="Verdana"/>
        </w:rPr>
      </w:pPr>
    </w:p>
    <w:p w:rsidR="000D15AB" w:rsidRPr="000A1293" w:rsidRDefault="000D15AB" w:rsidP="000D15AB">
      <w:pPr>
        <w:spacing w:after="0" w:line="240" w:lineRule="auto"/>
        <w:rPr>
          <w:rFonts w:ascii="Verdana" w:hAnsi="Verdana"/>
        </w:rPr>
      </w:pPr>
      <w:r>
        <w:rPr>
          <w:rFonts w:ascii="Verdana" w:hAnsi="Verdana"/>
        </w:rPr>
        <w:t>Just think, YOU are the first champion for so many of your students, helping them to start their educational journey and path to college and career.</w:t>
      </w:r>
      <w:r w:rsidR="000A1293">
        <w:rPr>
          <w:rFonts w:ascii="Verdana" w:hAnsi="Verdana"/>
        </w:rPr>
        <w:t xml:space="preserve"> </w:t>
      </w:r>
      <w:r>
        <w:rPr>
          <w:rFonts w:ascii="Verdana" w:hAnsi="Verdana"/>
        </w:rPr>
        <w:t xml:space="preserve">We hope you will feel free to modify any of the </w:t>
      </w:r>
      <w:r w:rsidR="000A1293">
        <w:rPr>
          <w:rFonts w:ascii="Verdana" w:hAnsi="Verdana"/>
        </w:rPr>
        <w:t>toolkit</w:t>
      </w:r>
      <w:r>
        <w:rPr>
          <w:rFonts w:ascii="Verdana" w:hAnsi="Verdana"/>
        </w:rPr>
        <w:t xml:space="preserve"> for best use in your classroom. These </w:t>
      </w:r>
      <w:r w:rsidR="000A1293">
        <w:rPr>
          <w:rFonts w:ascii="Verdana" w:hAnsi="Verdana"/>
        </w:rPr>
        <w:t xml:space="preserve">activities </w:t>
      </w:r>
      <w:r>
        <w:rPr>
          <w:rFonts w:ascii="Verdana" w:hAnsi="Verdana"/>
        </w:rPr>
        <w:t>are unrestricted and c</w:t>
      </w:r>
      <w:r w:rsidR="000A1293">
        <w:rPr>
          <w:rFonts w:ascii="Verdana" w:hAnsi="Verdana"/>
        </w:rPr>
        <w:t>an be edited in Microsoft Word.</w:t>
      </w:r>
      <w:r w:rsidR="000A1293">
        <w:rPr>
          <w:rStyle w:val="FootnoteReference"/>
          <w:rFonts w:ascii="Verdana" w:hAnsi="Verdana"/>
        </w:rPr>
        <w:footnoteReference w:id="1"/>
      </w:r>
    </w:p>
    <w:p w:rsidR="000D15AB" w:rsidRDefault="000D15AB" w:rsidP="000D15AB">
      <w:pPr>
        <w:spacing w:after="0" w:line="240" w:lineRule="auto"/>
        <w:rPr>
          <w:rFonts w:ascii="Verdana" w:hAnsi="Verdana"/>
          <w:b/>
          <w:sz w:val="26"/>
          <w:szCs w:val="26"/>
        </w:rPr>
      </w:pPr>
    </w:p>
    <w:p w:rsidR="000A1293" w:rsidRPr="00112FF6" w:rsidRDefault="000A1293" w:rsidP="000A1293">
      <w:pPr>
        <w:spacing w:after="0" w:line="240" w:lineRule="auto"/>
        <w:ind w:right="340"/>
        <w:outlineLvl w:val="2"/>
        <w:rPr>
          <w:rFonts w:ascii="Verdana" w:eastAsia="Times New Roman" w:hAnsi="Verdana" w:cs="Arial"/>
          <w:b/>
          <w:bCs/>
          <w:color w:val="813335"/>
          <w:sz w:val="24"/>
          <w:szCs w:val="24"/>
        </w:rPr>
      </w:pPr>
      <w:r>
        <w:rPr>
          <w:rFonts w:ascii="Verdana" w:eastAsia="Times New Roman" w:hAnsi="Verdana" w:cs="Arial"/>
          <w:b/>
          <w:bCs/>
          <w:color w:val="813335"/>
          <w:sz w:val="24"/>
          <w:szCs w:val="24"/>
        </w:rPr>
        <w:t>What is the purpose of this tool kit</w:t>
      </w:r>
      <w:r w:rsidRPr="00112FF6">
        <w:rPr>
          <w:rFonts w:ascii="Verdana" w:eastAsia="Times New Roman" w:hAnsi="Verdana" w:cs="Arial"/>
          <w:b/>
          <w:bCs/>
          <w:color w:val="813335"/>
          <w:sz w:val="24"/>
          <w:szCs w:val="24"/>
        </w:rPr>
        <w:t>?</w:t>
      </w:r>
    </w:p>
    <w:p w:rsidR="000A1293" w:rsidRDefault="000A1293" w:rsidP="000A1293">
      <w:pPr>
        <w:pStyle w:val="NoSpacing"/>
        <w:rPr>
          <w:rFonts w:ascii="Verdana" w:hAnsi="Verdana" w:cs="Meta Normal"/>
          <w:sz w:val="20"/>
          <w:szCs w:val="20"/>
        </w:rPr>
      </w:pPr>
    </w:p>
    <w:p w:rsidR="000A1293" w:rsidRDefault="000A1293" w:rsidP="000A1293">
      <w:pPr>
        <w:pStyle w:val="NoSpacing"/>
        <w:ind w:left="540"/>
        <w:rPr>
          <w:rFonts w:ascii="Verdana" w:hAnsi="Verdana" w:cs="Meta Normal"/>
          <w:sz w:val="20"/>
          <w:szCs w:val="20"/>
        </w:rPr>
      </w:pPr>
      <w:r w:rsidRPr="005954D7">
        <w:rPr>
          <w:rFonts w:ascii="Verdana" w:hAnsi="Verdana" w:cs="Meta Normal"/>
          <w:sz w:val="20"/>
          <w:szCs w:val="20"/>
        </w:rPr>
        <w:t xml:space="preserve">Students are likely to achieve academic or career success if they can visualize the </w:t>
      </w:r>
      <w:r>
        <w:rPr>
          <w:rFonts w:ascii="Verdana" w:hAnsi="Verdana" w:cs="Meta Normal"/>
          <w:sz w:val="20"/>
          <w:szCs w:val="20"/>
        </w:rPr>
        <w:t>path</w:t>
      </w:r>
      <w:r w:rsidRPr="005954D7">
        <w:rPr>
          <w:rFonts w:ascii="Verdana" w:hAnsi="Verdana" w:cs="Meta Normal"/>
          <w:sz w:val="20"/>
          <w:szCs w:val="20"/>
        </w:rPr>
        <w:t xml:space="preserve"> to their future. Believing they are on a </w:t>
      </w:r>
      <w:r>
        <w:rPr>
          <w:rFonts w:ascii="Verdana" w:hAnsi="Verdana" w:cs="Meta Normal"/>
          <w:sz w:val="20"/>
          <w:szCs w:val="20"/>
        </w:rPr>
        <w:t>path</w:t>
      </w:r>
      <w:r w:rsidRPr="005954D7">
        <w:rPr>
          <w:rFonts w:ascii="Verdana" w:hAnsi="Verdana" w:cs="Meta Normal"/>
          <w:sz w:val="20"/>
          <w:szCs w:val="20"/>
        </w:rPr>
        <w:t xml:space="preserve"> is a fundamental shift in consciousness that is essential for students to gain motivation and take the steps necessary to achieve their highest potential. </w:t>
      </w:r>
    </w:p>
    <w:p w:rsidR="000A1293" w:rsidRDefault="000A1293" w:rsidP="000A1293">
      <w:pPr>
        <w:pStyle w:val="NoSpacing"/>
        <w:ind w:left="540"/>
        <w:rPr>
          <w:rFonts w:ascii="Verdana" w:hAnsi="Verdana" w:cs="Meta Normal"/>
          <w:sz w:val="20"/>
          <w:szCs w:val="20"/>
        </w:rPr>
      </w:pPr>
    </w:p>
    <w:p w:rsidR="000A1293" w:rsidRDefault="000A1293" w:rsidP="000A1293">
      <w:pPr>
        <w:pStyle w:val="NoSpacing"/>
        <w:ind w:left="540"/>
        <w:rPr>
          <w:rFonts w:ascii="Verdana" w:hAnsi="Verdana" w:cs="Meta Normal"/>
          <w:sz w:val="20"/>
          <w:szCs w:val="20"/>
        </w:rPr>
      </w:pPr>
      <w:r>
        <w:rPr>
          <w:rFonts w:ascii="Verdana" w:hAnsi="Verdana" w:cs="Meta Normal"/>
          <w:sz w:val="20"/>
          <w:szCs w:val="20"/>
        </w:rPr>
        <w:t>Throughout these activities, students will think about what they want to be when they grow up, identify champions in their life who can help them on the path to their future, and build excitement about visiting a college campus. Each activity can be modified or extended to best fit the abilities of the students in your classroom and the time available.</w:t>
      </w:r>
    </w:p>
    <w:p w:rsidR="000A1293" w:rsidRDefault="000A1293" w:rsidP="000D15AB">
      <w:pPr>
        <w:spacing w:after="0" w:line="240" w:lineRule="auto"/>
        <w:ind w:right="340"/>
        <w:outlineLvl w:val="2"/>
        <w:rPr>
          <w:rFonts w:ascii="Verdana" w:eastAsia="Times New Roman" w:hAnsi="Verdana" w:cs="Arial"/>
          <w:b/>
          <w:bCs/>
          <w:color w:val="813335"/>
          <w:sz w:val="24"/>
          <w:szCs w:val="24"/>
        </w:rPr>
      </w:pPr>
    </w:p>
    <w:p w:rsidR="000D15AB" w:rsidRPr="00112FF6" w:rsidRDefault="000D15AB" w:rsidP="000D15AB">
      <w:pPr>
        <w:spacing w:after="0" w:line="240" w:lineRule="auto"/>
        <w:ind w:right="340"/>
        <w:outlineLvl w:val="2"/>
        <w:rPr>
          <w:rFonts w:ascii="Verdana" w:eastAsia="Times New Roman" w:hAnsi="Verdana" w:cs="Arial"/>
          <w:b/>
          <w:bCs/>
          <w:color w:val="813335"/>
          <w:sz w:val="24"/>
          <w:szCs w:val="24"/>
        </w:rPr>
      </w:pPr>
      <w:r w:rsidRPr="00112FF6">
        <w:rPr>
          <w:rFonts w:ascii="Verdana" w:eastAsia="Times New Roman" w:hAnsi="Verdana" w:cs="Arial"/>
          <w:b/>
          <w:bCs/>
          <w:color w:val="813335"/>
          <w:sz w:val="24"/>
          <w:szCs w:val="24"/>
        </w:rPr>
        <w:t>What is a college-going culture?</w:t>
      </w:r>
    </w:p>
    <w:p w:rsidR="000D15AB" w:rsidRDefault="000D15AB" w:rsidP="000D15AB">
      <w:pPr>
        <w:spacing w:after="0" w:line="240" w:lineRule="auto"/>
        <w:ind w:left="543" w:right="340"/>
        <w:rPr>
          <w:rFonts w:ascii="Verdana" w:eastAsia="Times New Roman" w:hAnsi="Verdana" w:cs="Times New Roman"/>
          <w:color w:val="222222"/>
          <w:sz w:val="20"/>
          <w:szCs w:val="20"/>
        </w:rPr>
      </w:pPr>
    </w:p>
    <w:p w:rsidR="000D15AB" w:rsidRPr="00112FF6" w:rsidRDefault="000D15AB" w:rsidP="000D15AB">
      <w:pPr>
        <w:spacing w:after="0" w:line="240" w:lineRule="auto"/>
        <w:ind w:left="543" w:right="340"/>
        <w:rPr>
          <w:rFonts w:ascii="Verdana" w:eastAsia="Times New Roman" w:hAnsi="Verdana" w:cs="Times New Roman"/>
          <w:color w:val="222222"/>
          <w:sz w:val="20"/>
          <w:szCs w:val="20"/>
        </w:rPr>
      </w:pPr>
      <w:r w:rsidRPr="00112FF6">
        <w:rPr>
          <w:rFonts w:ascii="Verdana" w:eastAsia="Times New Roman" w:hAnsi="Verdana" w:cs="Times New Roman"/>
          <w:color w:val="222222"/>
          <w:sz w:val="20"/>
          <w:szCs w:val="20"/>
        </w:rPr>
        <w:t>College-going culture refers to the environment, attitudes, and practices in schools and communities that encourage students and their families to obtain the information, tools, and perspective to enhance access to and success in post-secondary education.</w:t>
      </w:r>
    </w:p>
    <w:p w:rsidR="000D15AB" w:rsidRDefault="000D15AB" w:rsidP="000D15AB">
      <w:pPr>
        <w:spacing w:after="0" w:line="240" w:lineRule="auto"/>
        <w:ind w:left="543" w:right="340"/>
        <w:rPr>
          <w:rFonts w:ascii="Verdana" w:eastAsia="Times New Roman" w:hAnsi="Verdana" w:cs="Times New Roman"/>
          <w:color w:val="222222"/>
          <w:sz w:val="20"/>
          <w:szCs w:val="20"/>
        </w:rPr>
      </w:pPr>
    </w:p>
    <w:p w:rsidR="000D15AB" w:rsidRPr="00112FF6" w:rsidRDefault="000D15AB" w:rsidP="000D15AB">
      <w:pPr>
        <w:spacing w:after="0" w:line="240" w:lineRule="auto"/>
        <w:ind w:left="543" w:right="340"/>
        <w:rPr>
          <w:rFonts w:ascii="Verdana" w:eastAsia="Times New Roman" w:hAnsi="Verdana" w:cs="Times New Roman"/>
          <w:color w:val="222222"/>
          <w:sz w:val="20"/>
          <w:szCs w:val="20"/>
        </w:rPr>
      </w:pPr>
      <w:r w:rsidRPr="00112FF6">
        <w:rPr>
          <w:rFonts w:ascii="Verdana" w:eastAsia="Times New Roman" w:hAnsi="Verdana" w:cs="Times New Roman"/>
          <w:color w:val="222222"/>
          <w:sz w:val="20"/>
          <w:szCs w:val="20"/>
        </w:rPr>
        <w:t>Three necessary elements are:</w:t>
      </w:r>
    </w:p>
    <w:p w:rsidR="000D15AB" w:rsidRPr="00112FF6" w:rsidRDefault="000D15AB" w:rsidP="000D15AB">
      <w:pPr>
        <w:numPr>
          <w:ilvl w:val="0"/>
          <w:numId w:val="1"/>
        </w:numPr>
        <w:spacing w:after="0" w:line="240" w:lineRule="auto"/>
        <w:ind w:left="1086" w:right="680"/>
        <w:rPr>
          <w:rFonts w:ascii="Verdana" w:eastAsia="Times New Roman" w:hAnsi="Verdana" w:cs="Times New Roman"/>
          <w:color w:val="222222"/>
          <w:sz w:val="20"/>
          <w:szCs w:val="20"/>
        </w:rPr>
      </w:pPr>
      <w:r w:rsidRPr="00112FF6">
        <w:rPr>
          <w:rFonts w:ascii="Verdana" w:eastAsia="Times New Roman" w:hAnsi="Verdana" w:cs="Times New Roman"/>
          <w:color w:val="222222"/>
          <w:sz w:val="20"/>
          <w:szCs w:val="20"/>
        </w:rPr>
        <w:t>Students learn about options for their future, careers and the education they require, as early as elementary school, with a specific focus beginning in middle school.</w:t>
      </w:r>
    </w:p>
    <w:p w:rsidR="000D15AB" w:rsidRPr="00112FF6" w:rsidRDefault="000D15AB" w:rsidP="000D15AB">
      <w:pPr>
        <w:numPr>
          <w:ilvl w:val="0"/>
          <w:numId w:val="1"/>
        </w:numPr>
        <w:spacing w:after="0" w:line="240" w:lineRule="auto"/>
        <w:ind w:left="1086" w:right="680"/>
        <w:rPr>
          <w:rFonts w:ascii="Verdana" w:eastAsia="Times New Roman" w:hAnsi="Verdana" w:cs="Times New Roman"/>
          <w:color w:val="222222"/>
          <w:sz w:val="20"/>
          <w:szCs w:val="20"/>
        </w:rPr>
      </w:pPr>
      <w:r w:rsidRPr="00112FF6">
        <w:rPr>
          <w:rFonts w:ascii="Verdana" w:eastAsia="Times New Roman" w:hAnsi="Verdana" w:cs="Times New Roman"/>
          <w:color w:val="222222"/>
          <w:sz w:val="20"/>
          <w:szCs w:val="20"/>
        </w:rPr>
        <w:t>Schools convey the expectation that all students can prepare for the opportunity to attend and be successful in post-secondary education.</w:t>
      </w:r>
    </w:p>
    <w:p w:rsidR="000D15AB" w:rsidRPr="00112FF6" w:rsidRDefault="000D15AB" w:rsidP="000D15AB">
      <w:pPr>
        <w:numPr>
          <w:ilvl w:val="0"/>
          <w:numId w:val="1"/>
        </w:numPr>
        <w:spacing w:after="0" w:line="240" w:lineRule="auto"/>
        <w:ind w:left="1086" w:right="680"/>
        <w:rPr>
          <w:rFonts w:ascii="Verdana" w:eastAsia="Times New Roman" w:hAnsi="Verdana" w:cs="Times New Roman"/>
          <w:color w:val="222222"/>
          <w:sz w:val="20"/>
          <w:szCs w:val="20"/>
        </w:rPr>
      </w:pPr>
      <w:r w:rsidRPr="00112FF6">
        <w:rPr>
          <w:rFonts w:ascii="Verdana" w:eastAsia="Times New Roman" w:hAnsi="Verdana" w:cs="Times New Roman"/>
          <w:color w:val="222222"/>
          <w:sz w:val="20"/>
          <w:szCs w:val="20"/>
        </w:rPr>
        <w:t>Schools, families, and communities give students the same message of high expectations for their future.</w:t>
      </w:r>
    </w:p>
    <w:p w:rsidR="000D15AB" w:rsidRDefault="000D15AB" w:rsidP="000D15AB">
      <w:pPr>
        <w:spacing w:after="0" w:line="240" w:lineRule="auto"/>
        <w:ind w:left="543" w:right="340"/>
        <w:rPr>
          <w:rFonts w:ascii="Verdana" w:eastAsia="Times New Roman" w:hAnsi="Verdana" w:cs="Times New Roman"/>
          <w:color w:val="222222"/>
          <w:sz w:val="20"/>
          <w:szCs w:val="20"/>
        </w:rPr>
      </w:pPr>
    </w:p>
    <w:p w:rsidR="000D15AB" w:rsidRPr="00112FF6" w:rsidRDefault="000D15AB" w:rsidP="000D15AB">
      <w:pPr>
        <w:spacing w:after="0" w:line="240" w:lineRule="auto"/>
        <w:ind w:left="543" w:right="340"/>
        <w:rPr>
          <w:rFonts w:ascii="Verdana" w:eastAsia="Times New Roman" w:hAnsi="Verdana" w:cs="Times New Roman"/>
          <w:color w:val="222222"/>
          <w:sz w:val="20"/>
          <w:szCs w:val="20"/>
        </w:rPr>
      </w:pPr>
      <w:r w:rsidRPr="00112FF6">
        <w:rPr>
          <w:rFonts w:ascii="Verdana" w:eastAsia="Times New Roman" w:hAnsi="Verdana" w:cs="Times New Roman"/>
          <w:color w:val="222222"/>
          <w:sz w:val="20"/>
          <w:szCs w:val="20"/>
        </w:rPr>
        <w:t>In addition to college-going, the broad goal is for students to believe they can have a great future, and that they can plan and prepare for many options leading to a creative and productive life after high school. Students may think they know what they want, but we know their interests and career aspirations may and most likely will change, and they need to be prepared. Students need to know that there are many paths they can take to have a successful life journey.</w:t>
      </w:r>
    </w:p>
    <w:p w:rsidR="000D15AB" w:rsidRPr="00112FF6" w:rsidRDefault="000D15AB" w:rsidP="000D15AB">
      <w:pPr>
        <w:spacing w:after="0" w:line="240" w:lineRule="auto"/>
        <w:ind w:left="543" w:right="340"/>
        <w:outlineLvl w:val="2"/>
        <w:rPr>
          <w:rFonts w:ascii="Verdana" w:eastAsia="Times New Roman" w:hAnsi="Verdana" w:cs="Arial"/>
          <w:b/>
          <w:bCs/>
          <w:color w:val="813335"/>
          <w:sz w:val="27"/>
          <w:szCs w:val="27"/>
        </w:rPr>
      </w:pPr>
    </w:p>
    <w:p w:rsidR="000D15AB" w:rsidRPr="00112FF6" w:rsidRDefault="000D15AB" w:rsidP="000D15AB">
      <w:pPr>
        <w:spacing w:after="0" w:line="240" w:lineRule="auto"/>
        <w:ind w:right="340"/>
        <w:outlineLvl w:val="2"/>
        <w:rPr>
          <w:rFonts w:ascii="Verdana" w:eastAsia="Times New Roman" w:hAnsi="Verdana" w:cs="Arial"/>
          <w:b/>
          <w:bCs/>
          <w:color w:val="813335"/>
          <w:sz w:val="24"/>
          <w:szCs w:val="24"/>
        </w:rPr>
      </w:pPr>
      <w:r w:rsidRPr="00112FF6">
        <w:rPr>
          <w:rFonts w:ascii="Verdana" w:eastAsia="Times New Roman" w:hAnsi="Verdana" w:cs="Arial"/>
          <w:b/>
          <w:bCs/>
          <w:color w:val="813335"/>
          <w:sz w:val="24"/>
          <w:szCs w:val="24"/>
        </w:rPr>
        <w:t>How do attitudes of teachers and counselors affect college-going?</w:t>
      </w:r>
    </w:p>
    <w:p w:rsidR="000D15AB" w:rsidRDefault="000D15AB" w:rsidP="000D15AB">
      <w:pPr>
        <w:spacing w:after="0" w:line="240" w:lineRule="auto"/>
        <w:ind w:left="543" w:right="340"/>
        <w:rPr>
          <w:rFonts w:ascii="Verdana" w:eastAsia="Times New Roman" w:hAnsi="Verdana" w:cs="Times New Roman"/>
          <w:color w:val="222222"/>
          <w:sz w:val="20"/>
          <w:szCs w:val="20"/>
        </w:rPr>
      </w:pPr>
    </w:p>
    <w:p w:rsidR="000D15AB" w:rsidRPr="00112FF6" w:rsidRDefault="000D15AB" w:rsidP="000D15AB">
      <w:pPr>
        <w:spacing w:after="0" w:line="240" w:lineRule="auto"/>
        <w:ind w:left="543" w:right="340"/>
        <w:rPr>
          <w:rFonts w:ascii="Verdana" w:eastAsia="Times New Roman" w:hAnsi="Verdana" w:cs="Times New Roman"/>
          <w:color w:val="222222"/>
          <w:sz w:val="20"/>
          <w:szCs w:val="20"/>
        </w:rPr>
      </w:pPr>
      <w:r w:rsidRPr="00112FF6">
        <w:rPr>
          <w:rFonts w:ascii="Verdana" w:eastAsia="Times New Roman" w:hAnsi="Verdana" w:cs="Times New Roman"/>
          <w:color w:val="222222"/>
          <w:sz w:val="20"/>
          <w:szCs w:val="20"/>
        </w:rPr>
        <w:t xml:space="preserve">We know </w:t>
      </w:r>
      <w:r>
        <w:rPr>
          <w:rFonts w:ascii="Verdana" w:eastAsia="Times New Roman" w:hAnsi="Verdana" w:cs="Times New Roman"/>
          <w:color w:val="222222"/>
          <w:sz w:val="20"/>
          <w:szCs w:val="20"/>
        </w:rPr>
        <w:t>that</w:t>
      </w:r>
      <w:r w:rsidRPr="00112FF6">
        <w:rPr>
          <w:rFonts w:ascii="Verdana" w:eastAsia="Times New Roman" w:hAnsi="Verdana" w:cs="Times New Roman"/>
          <w:color w:val="222222"/>
          <w:sz w:val="20"/>
          <w:szCs w:val="20"/>
        </w:rPr>
        <w:t xml:space="preserve"> students respond to the level of expectations held of them by the adults in their lives. In one recent story, a principal asked his kindergarten teachers to tell him who in their class was “college material.” Indeed, teachers responded with the names of specific children they had already decided were going to college. </w:t>
      </w:r>
      <w:r>
        <w:rPr>
          <w:rFonts w:ascii="Verdana" w:eastAsia="Times New Roman" w:hAnsi="Verdana" w:cs="Times New Roman"/>
          <w:color w:val="222222"/>
          <w:sz w:val="20"/>
          <w:szCs w:val="20"/>
        </w:rPr>
        <w:t>E</w:t>
      </w:r>
      <w:r w:rsidRPr="00112FF6">
        <w:rPr>
          <w:rFonts w:ascii="Verdana" w:eastAsia="Times New Roman" w:hAnsi="Verdana" w:cs="Times New Roman"/>
          <w:color w:val="222222"/>
          <w:sz w:val="20"/>
          <w:szCs w:val="20"/>
        </w:rPr>
        <w:t>ven at five years-old, some children were already getting the message in school that they could not go as far as their peers.</w:t>
      </w:r>
    </w:p>
    <w:p w:rsidR="000D15AB" w:rsidRDefault="000D15AB" w:rsidP="000D15AB">
      <w:pPr>
        <w:spacing w:after="0" w:line="240" w:lineRule="auto"/>
        <w:ind w:left="543" w:right="340"/>
        <w:rPr>
          <w:rFonts w:ascii="Verdana" w:eastAsia="Times New Roman" w:hAnsi="Verdana" w:cs="Times New Roman"/>
          <w:color w:val="222222"/>
          <w:sz w:val="20"/>
          <w:szCs w:val="20"/>
        </w:rPr>
      </w:pPr>
    </w:p>
    <w:p w:rsidR="000D15AB" w:rsidRDefault="000D15AB" w:rsidP="001C0536">
      <w:pPr>
        <w:spacing w:after="0" w:line="240" w:lineRule="auto"/>
        <w:ind w:left="543" w:right="340"/>
        <w:rPr>
          <w:rFonts w:ascii="Verdana" w:eastAsia="Times New Roman" w:hAnsi="Verdana" w:cs="Times New Roman"/>
          <w:color w:val="222222"/>
          <w:sz w:val="20"/>
          <w:szCs w:val="20"/>
        </w:rPr>
      </w:pPr>
      <w:r w:rsidRPr="00112FF6">
        <w:rPr>
          <w:rFonts w:ascii="Verdana" w:eastAsia="Times New Roman" w:hAnsi="Verdana" w:cs="Times New Roman"/>
          <w:color w:val="222222"/>
          <w:sz w:val="20"/>
          <w:szCs w:val="20"/>
        </w:rPr>
        <w:lastRenderedPageBreak/>
        <w:t>When information about college does not get through, the students who ne</w:t>
      </w:r>
      <w:r w:rsidR="001C0536">
        <w:rPr>
          <w:rFonts w:ascii="Verdana" w:eastAsia="Times New Roman" w:hAnsi="Verdana" w:cs="Times New Roman"/>
          <w:color w:val="222222"/>
          <w:sz w:val="20"/>
          <w:szCs w:val="20"/>
        </w:rPr>
        <w:t>ed that information the most—</w:t>
      </w:r>
      <w:r w:rsidRPr="00112FF6">
        <w:rPr>
          <w:rFonts w:ascii="Verdana" w:eastAsia="Times New Roman" w:hAnsi="Verdana" w:cs="Times New Roman"/>
          <w:color w:val="222222"/>
          <w:sz w:val="20"/>
          <w:szCs w:val="20"/>
        </w:rPr>
        <w:t>because their family members do not have personal knowledge or experiences</w:t>
      </w:r>
      <w:r w:rsidR="001C0536">
        <w:rPr>
          <w:rFonts w:ascii="Verdana" w:eastAsia="Times New Roman" w:hAnsi="Verdana" w:cs="Times New Roman"/>
          <w:color w:val="222222"/>
          <w:sz w:val="20"/>
          <w:szCs w:val="20"/>
        </w:rPr>
        <w:t xml:space="preserve"> that they can share—</w:t>
      </w:r>
      <w:r w:rsidRPr="00112FF6">
        <w:rPr>
          <w:rFonts w:ascii="Verdana" w:eastAsia="Times New Roman" w:hAnsi="Verdana" w:cs="Times New Roman"/>
          <w:color w:val="222222"/>
          <w:sz w:val="20"/>
          <w:szCs w:val="20"/>
        </w:rPr>
        <w:t>are the ones who can be left behind. This situation particularly hurts students whose parents did not attend college, as their families often lack the knowledge that is needed about what courses to take and how to prepare for college admission, and often believe that college is too expensive for their family to afford.</w:t>
      </w:r>
    </w:p>
    <w:p w:rsidR="000D15AB" w:rsidRDefault="000D15AB" w:rsidP="000D15AB">
      <w:pPr>
        <w:spacing w:after="0" w:line="240" w:lineRule="auto"/>
        <w:ind w:left="543" w:right="340"/>
        <w:rPr>
          <w:rFonts w:ascii="Verdana" w:eastAsia="Times New Roman" w:hAnsi="Verdana" w:cs="Times New Roman"/>
          <w:color w:val="222222"/>
          <w:sz w:val="20"/>
          <w:szCs w:val="20"/>
        </w:rPr>
      </w:pPr>
    </w:p>
    <w:p w:rsidR="000D15AB" w:rsidRDefault="000D15AB" w:rsidP="000D15AB">
      <w:pPr>
        <w:spacing w:after="0" w:line="240" w:lineRule="auto"/>
        <w:ind w:left="543" w:right="340"/>
        <w:rPr>
          <w:rFonts w:ascii="Verdana" w:hAnsi="Verdana"/>
          <w:b/>
        </w:rPr>
      </w:pPr>
      <w:r>
        <w:rPr>
          <w:rFonts w:ascii="Verdana" w:eastAsia="Times New Roman" w:hAnsi="Verdana" w:cs="Times New Roman"/>
          <w:color w:val="222222"/>
          <w:sz w:val="20"/>
          <w:szCs w:val="20"/>
        </w:rPr>
        <w:t>L</w:t>
      </w:r>
      <w:r w:rsidRPr="00112FF6">
        <w:rPr>
          <w:rFonts w:ascii="Verdana" w:eastAsia="Times New Roman" w:hAnsi="Verdana" w:cs="Times New Roman"/>
          <w:color w:val="222222"/>
          <w:sz w:val="20"/>
          <w:szCs w:val="20"/>
        </w:rPr>
        <w:t>ow expectations can heavily influence the life trajectory for student success.</w:t>
      </w:r>
      <w:r>
        <w:rPr>
          <w:rFonts w:ascii="Verdana" w:eastAsia="Times New Roman" w:hAnsi="Verdana" w:cs="Times New Roman"/>
          <w:color w:val="222222"/>
          <w:sz w:val="20"/>
          <w:szCs w:val="20"/>
        </w:rPr>
        <w:t xml:space="preserve"> When </w:t>
      </w:r>
      <w:r w:rsidRPr="00112FF6">
        <w:rPr>
          <w:rFonts w:ascii="Verdana" w:eastAsia="Times New Roman" w:hAnsi="Verdana" w:cs="Times New Roman"/>
          <w:color w:val="222222"/>
          <w:sz w:val="20"/>
          <w:szCs w:val="20"/>
        </w:rPr>
        <w:t>educators begin to hold all students to high expectations for achievement and success, it can make a profound difference in students' lives.</w:t>
      </w:r>
    </w:p>
    <w:p w:rsidR="000D15AB" w:rsidRDefault="000D15AB" w:rsidP="000D15AB">
      <w:pPr>
        <w:spacing w:after="0" w:line="240" w:lineRule="auto"/>
        <w:ind w:right="340"/>
        <w:rPr>
          <w:rFonts w:ascii="Verdana" w:hAnsi="Verdana"/>
          <w:b/>
        </w:rPr>
      </w:pPr>
    </w:p>
    <w:p w:rsidR="000A1293" w:rsidRDefault="000A1293" w:rsidP="000D15AB">
      <w:pPr>
        <w:pStyle w:val="NoSpacing"/>
        <w:ind w:left="540"/>
        <w:rPr>
          <w:rFonts w:ascii="Verdana" w:hAnsi="Verdana" w:cs="Meta Normal"/>
          <w:sz w:val="20"/>
          <w:szCs w:val="20"/>
        </w:rPr>
      </w:pPr>
    </w:p>
    <w:p w:rsidR="000A1293" w:rsidRPr="00112FF6" w:rsidRDefault="000A1293" w:rsidP="000A1293">
      <w:pPr>
        <w:spacing w:after="0" w:line="240" w:lineRule="auto"/>
        <w:ind w:right="340"/>
        <w:outlineLvl w:val="2"/>
        <w:rPr>
          <w:rFonts w:ascii="Verdana" w:eastAsia="Times New Roman" w:hAnsi="Verdana" w:cs="Arial"/>
          <w:b/>
          <w:bCs/>
          <w:color w:val="813335"/>
          <w:sz w:val="24"/>
          <w:szCs w:val="24"/>
        </w:rPr>
      </w:pPr>
      <w:r>
        <w:rPr>
          <w:rFonts w:ascii="Verdana" w:eastAsia="Times New Roman" w:hAnsi="Verdana" w:cs="Arial"/>
          <w:b/>
          <w:bCs/>
          <w:color w:val="813335"/>
          <w:sz w:val="24"/>
          <w:szCs w:val="24"/>
        </w:rPr>
        <w:t xml:space="preserve">Are the activities in this toolkit aligned to Indiana Learning Standards? </w:t>
      </w:r>
    </w:p>
    <w:p w:rsidR="000A1293" w:rsidRDefault="000A1293" w:rsidP="000A1293">
      <w:pPr>
        <w:pStyle w:val="standard"/>
      </w:pPr>
    </w:p>
    <w:p w:rsidR="000A1293" w:rsidRDefault="000A1293" w:rsidP="000A1293">
      <w:pPr>
        <w:pStyle w:val="standard"/>
        <w:ind w:left="540"/>
      </w:pPr>
      <w:r>
        <w:rPr>
          <w:rFonts w:ascii="Verdana" w:hAnsi="Verdana"/>
          <w:sz w:val="20"/>
          <w:szCs w:val="20"/>
        </w:rPr>
        <w:t>Yes; here are several Indiana Learning Standards that are connected to activities in this toolkit:</w:t>
      </w:r>
    </w:p>
    <w:p w:rsidR="000A1293" w:rsidRDefault="000A1293" w:rsidP="000A1293">
      <w:pPr>
        <w:pStyle w:val="standard"/>
      </w:pPr>
    </w:p>
    <w:p w:rsidR="000A1293" w:rsidRPr="000A1293" w:rsidRDefault="000A1293" w:rsidP="000A1293">
      <w:pPr>
        <w:pStyle w:val="standard"/>
        <w:ind w:left="540"/>
        <w:rPr>
          <w:rFonts w:ascii="Verdana" w:hAnsi="Verdana"/>
          <w:sz w:val="20"/>
          <w:szCs w:val="20"/>
          <w:u w:val="single"/>
        </w:rPr>
      </w:pPr>
      <w:r w:rsidRPr="000A1293">
        <w:rPr>
          <w:rFonts w:ascii="Verdana" w:hAnsi="Verdana"/>
          <w:sz w:val="20"/>
          <w:szCs w:val="20"/>
          <w:u w:val="single"/>
        </w:rPr>
        <w:t>Foundations of Government</w:t>
      </w:r>
    </w:p>
    <w:p w:rsidR="000A1293" w:rsidRPr="000A1293" w:rsidRDefault="000A1293" w:rsidP="000A1293">
      <w:pPr>
        <w:pStyle w:val="standard"/>
        <w:ind w:left="540"/>
        <w:rPr>
          <w:rFonts w:ascii="Verdana" w:hAnsi="Verdana"/>
          <w:sz w:val="20"/>
          <w:szCs w:val="20"/>
        </w:rPr>
      </w:pPr>
    </w:p>
    <w:p w:rsidR="000A1293" w:rsidRPr="000A1293" w:rsidRDefault="000A1293" w:rsidP="000A1293">
      <w:pPr>
        <w:pStyle w:val="standard"/>
        <w:ind w:left="1440" w:hanging="900"/>
        <w:rPr>
          <w:rFonts w:ascii="Verdana" w:hAnsi="Verdana"/>
          <w:sz w:val="20"/>
          <w:szCs w:val="20"/>
        </w:rPr>
      </w:pPr>
      <w:r w:rsidRPr="000A1293">
        <w:rPr>
          <w:rFonts w:ascii="Verdana" w:hAnsi="Verdana"/>
          <w:sz w:val="20"/>
          <w:szCs w:val="20"/>
        </w:rPr>
        <w:t xml:space="preserve">K.2.1   </w:t>
      </w:r>
      <w:r w:rsidRPr="000A1293">
        <w:rPr>
          <w:rFonts w:ascii="Verdana" w:hAnsi="Verdana"/>
          <w:sz w:val="20"/>
          <w:szCs w:val="20"/>
        </w:rPr>
        <w:tab/>
        <w:t>Give examples of people who are community helpers and leaders and describe how they help us.</w:t>
      </w:r>
      <w:r w:rsidRPr="000A1293" w:rsidDel="00F124C6">
        <w:rPr>
          <w:rFonts w:ascii="Verdana" w:hAnsi="Verdana"/>
          <w:sz w:val="20"/>
          <w:szCs w:val="20"/>
        </w:rPr>
        <w:t xml:space="preserve"> </w:t>
      </w:r>
      <w:r w:rsidRPr="000A1293">
        <w:rPr>
          <w:rFonts w:ascii="Verdana" w:hAnsi="Verdana"/>
          <w:bCs/>
          <w:sz w:val="20"/>
          <w:szCs w:val="20"/>
        </w:rPr>
        <w:t>Example</w:t>
      </w:r>
      <w:r w:rsidRPr="000A1293">
        <w:rPr>
          <w:rFonts w:ascii="Verdana" w:hAnsi="Verdana"/>
          <w:sz w:val="20"/>
          <w:szCs w:val="20"/>
        </w:rPr>
        <w:t>: Parents, teachers, school principal, bus drivers and policemen</w:t>
      </w:r>
      <w:r w:rsidRPr="000A1293" w:rsidDel="00F124C6">
        <w:rPr>
          <w:rFonts w:ascii="Verdana" w:hAnsi="Verdana"/>
          <w:sz w:val="20"/>
          <w:szCs w:val="20"/>
        </w:rPr>
        <w:t xml:space="preserve"> </w:t>
      </w:r>
      <w:r w:rsidRPr="000A1293">
        <w:rPr>
          <w:rFonts w:ascii="Verdana" w:hAnsi="Verdana"/>
          <w:sz w:val="20"/>
          <w:szCs w:val="20"/>
        </w:rPr>
        <w:t>(this standard can apply to the “Champions” and who they might be in our children’s lives.)</w:t>
      </w:r>
    </w:p>
    <w:p w:rsidR="000A1293" w:rsidRPr="000A1293" w:rsidRDefault="000A1293" w:rsidP="000A1293">
      <w:pPr>
        <w:pStyle w:val="SectionHeaders"/>
        <w:spacing w:before="0" w:after="0"/>
        <w:ind w:left="540"/>
        <w:rPr>
          <w:rFonts w:ascii="Verdana" w:hAnsi="Verdana"/>
          <w:b w:val="0"/>
          <w:sz w:val="20"/>
        </w:rPr>
      </w:pPr>
    </w:p>
    <w:p w:rsidR="000A1293" w:rsidRPr="000A1293" w:rsidRDefault="000A1293" w:rsidP="000A1293">
      <w:pPr>
        <w:pStyle w:val="SectionHeaders"/>
        <w:spacing w:before="0" w:after="0"/>
        <w:ind w:left="540"/>
        <w:rPr>
          <w:rFonts w:ascii="Verdana" w:hAnsi="Verdana"/>
          <w:b w:val="0"/>
          <w:sz w:val="20"/>
          <w:u w:val="single"/>
        </w:rPr>
      </w:pPr>
      <w:r w:rsidRPr="000A1293">
        <w:rPr>
          <w:rFonts w:ascii="Verdana" w:hAnsi="Verdana"/>
          <w:b w:val="0"/>
          <w:sz w:val="20"/>
          <w:u w:val="single"/>
        </w:rPr>
        <w:t>Environment and Society</w:t>
      </w:r>
    </w:p>
    <w:p w:rsidR="000A1293" w:rsidRPr="000A1293" w:rsidRDefault="000A1293" w:rsidP="000A1293">
      <w:pPr>
        <w:pStyle w:val="SectionHeaders"/>
        <w:spacing w:before="0" w:after="0"/>
        <w:ind w:left="540"/>
        <w:rPr>
          <w:rFonts w:ascii="Verdana" w:hAnsi="Verdana"/>
          <w:b w:val="0"/>
          <w:sz w:val="20"/>
        </w:rPr>
      </w:pPr>
    </w:p>
    <w:p w:rsidR="000A1293" w:rsidRPr="000A1293" w:rsidRDefault="000A1293" w:rsidP="000A1293">
      <w:pPr>
        <w:pStyle w:val="standard"/>
        <w:ind w:left="540"/>
        <w:rPr>
          <w:rFonts w:ascii="Verdana" w:hAnsi="Verdana"/>
          <w:sz w:val="20"/>
          <w:szCs w:val="20"/>
        </w:rPr>
      </w:pPr>
      <w:r w:rsidRPr="000A1293">
        <w:rPr>
          <w:rFonts w:ascii="Verdana" w:hAnsi="Verdana"/>
          <w:sz w:val="20"/>
          <w:szCs w:val="20"/>
        </w:rPr>
        <w:t xml:space="preserve">K.4.1   </w:t>
      </w:r>
      <w:r w:rsidRPr="000A1293">
        <w:rPr>
          <w:rFonts w:ascii="Verdana" w:hAnsi="Verdana"/>
          <w:sz w:val="20"/>
          <w:szCs w:val="20"/>
        </w:rPr>
        <w:tab/>
        <w:t>Explain that people work to earn money to buy the things they want and need.</w:t>
      </w:r>
    </w:p>
    <w:p w:rsidR="000A1293" w:rsidRPr="000A1293" w:rsidRDefault="000A1293" w:rsidP="000A1293">
      <w:pPr>
        <w:pStyle w:val="standard"/>
        <w:ind w:left="540"/>
        <w:rPr>
          <w:rFonts w:ascii="Verdana" w:hAnsi="Verdana"/>
          <w:sz w:val="20"/>
          <w:szCs w:val="20"/>
        </w:rPr>
      </w:pPr>
      <w:r w:rsidRPr="000A1293">
        <w:rPr>
          <w:rFonts w:ascii="Verdana" w:hAnsi="Verdana"/>
          <w:sz w:val="20"/>
          <w:szCs w:val="20"/>
        </w:rPr>
        <w:tab/>
      </w:r>
      <w:r w:rsidRPr="000A1293">
        <w:rPr>
          <w:rFonts w:ascii="Verdana" w:hAnsi="Verdana"/>
          <w:sz w:val="20"/>
          <w:szCs w:val="20"/>
        </w:rPr>
        <w:tab/>
      </w:r>
    </w:p>
    <w:p w:rsidR="000A1293" w:rsidRPr="000A1293" w:rsidRDefault="000A1293" w:rsidP="000A1293">
      <w:pPr>
        <w:pStyle w:val="standard"/>
        <w:ind w:left="1440" w:hanging="900"/>
        <w:rPr>
          <w:rFonts w:ascii="Verdana" w:hAnsi="Verdana"/>
          <w:sz w:val="20"/>
          <w:szCs w:val="20"/>
        </w:rPr>
      </w:pPr>
      <w:r w:rsidRPr="000A1293">
        <w:rPr>
          <w:rFonts w:ascii="Verdana" w:hAnsi="Verdana"/>
          <w:sz w:val="20"/>
          <w:szCs w:val="20"/>
        </w:rPr>
        <w:t xml:space="preserve">K.4.2   </w:t>
      </w:r>
      <w:r w:rsidRPr="000A1293">
        <w:rPr>
          <w:rFonts w:ascii="Verdana" w:hAnsi="Verdana"/>
          <w:sz w:val="20"/>
          <w:szCs w:val="20"/>
        </w:rPr>
        <w:tab/>
        <w:t>Identify and describe different kinds of jobs people do and the tools or equipment used in these jobs.</w:t>
      </w:r>
      <w:r>
        <w:rPr>
          <w:rFonts w:ascii="Verdana" w:hAnsi="Verdana"/>
          <w:sz w:val="20"/>
          <w:szCs w:val="20"/>
        </w:rPr>
        <w:t xml:space="preserve"> </w:t>
      </w:r>
      <w:r w:rsidRPr="000A1293">
        <w:rPr>
          <w:rFonts w:ascii="Verdana" w:hAnsi="Verdana"/>
          <w:bCs/>
          <w:sz w:val="20"/>
          <w:szCs w:val="20"/>
        </w:rPr>
        <w:t>Example</w:t>
      </w:r>
      <w:r w:rsidRPr="000A1293">
        <w:rPr>
          <w:rFonts w:ascii="Verdana" w:hAnsi="Verdana"/>
          <w:sz w:val="20"/>
          <w:szCs w:val="20"/>
        </w:rPr>
        <w:t>: Use picture books, stories and software programs/games to illustrate and identify different types of jobs, as well as tools and materials used in different jobs.</w:t>
      </w:r>
    </w:p>
    <w:p w:rsidR="000A1293" w:rsidRDefault="000A1293" w:rsidP="000A1293">
      <w:pPr>
        <w:pStyle w:val="standard"/>
        <w:ind w:left="540"/>
        <w:rPr>
          <w:rFonts w:ascii="Verdana" w:hAnsi="Verdana"/>
          <w:sz w:val="20"/>
          <w:szCs w:val="20"/>
        </w:rPr>
      </w:pPr>
      <w:r w:rsidRPr="000A1293">
        <w:rPr>
          <w:rFonts w:ascii="Verdana" w:hAnsi="Verdana"/>
          <w:sz w:val="20"/>
          <w:szCs w:val="20"/>
        </w:rPr>
        <w:br/>
        <w:t xml:space="preserve">K.4.3   </w:t>
      </w:r>
      <w:r w:rsidRPr="000A1293">
        <w:rPr>
          <w:rFonts w:ascii="Verdana" w:hAnsi="Verdana"/>
          <w:sz w:val="20"/>
          <w:szCs w:val="20"/>
        </w:rPr>
        <w:tab/>
        <w:t>Explain why people in a community choose different jobs.</w:t>
      </w:r>
      <w:r>
        <w:rPr>
          <w:rFonts w:ascii="Verdana" w:hAnsi="Verdana"/>
          <w:sz w:val="20"/>
          <w:szCs w:val="20"/>
        </w:rPr>
        <w:t xml:space="preserve"> </w:t>
      </w:r>
      <w:r w:rsidRPr="000A1293">
        <w:rPr>
          <w:rFonts w:ascii="Verdana" w:hAnsi="Verdana"/>
          <w:bCs/>
          <w:sz w:val="20"/>
          <w:szCs w:val="20"/>
        </w:rPr>
        <w:t>Example</w:t>
      </w:r>
      <w:r w:rsidRPr="000A1293">
        <w:rPr>
          <w:rFonts w:ascii="Verdana" w:hAnsi="Verdana"/>
          <w:sz w:val="20"/>
          <w:szCs w:val="20"/>
        </w:rPr>
        <w:t xml:space="preserve">: People may have </w:t>
      </w:r>
    </w:p>
    <w:p w:rsidR="000A1293" w:rsidRDefault="000A1293" w:rsidP="000A1293">
      <w:pPr>
        <w:pStyle w:val="standard"/>
        <w:ind w:left="540"/>
        <w:rPr>
          <w:rFonts w:ascii="Verdana" w:hAnsi="Verdana"/>
          <w:sz w:val="20"/>
          <w:szCs w:val="20"/>
        </w:rPr>
      </w:pPr>
      <w:r>
        <w:rPr>
          <w:rFonts w:ascii="Verdana" w:hAnsi="Verdana"/>
          <w:sz w:val="20"/>
          <w:szCs w:val="20"/>
        </w:rPr>
        <w:tab/>
      </w:r>
      <w:r>
        <w:rPr>
          <w:rFonts w:ascii="Verdana" w:hAnsi="Verdana"/>
          <w:sz w:val="20"/>
          <w:szCs w:val="20"/>
        </w:rPr>
        <w:tab/>
      </w:r>
      <w:proofErr w:type="gramStart"/>
      <w:r w:rsidRPr="000A1293">
        <w:rPr>
          <w:rFonts w:ascii="Verdana" w:hAnsi="Verdana"/>
          <w:sz w:val="20"/>
          <w:szCs w:val="20"/>
        </w:rPr>
        <w:t>different</w:t>
      </w:r>
      <w:proofErr w:type="gramEnd"/>
      <w:r w:rsidRPr="000A1293">
        <w:rPr>
          <w:rFonts w:ascii="Verdana" w:hAnsi="Verdana"/>
          <w:sz w:val="20"/>
          <w:szCs w:val="20"/>
        </w:rPr>
        <w:t xml:space="preserve"> types of jobs because they like doing different things or because they are better at </w:t>
      </w:r>
    </w:p>
    <w:p w:rsidR="000A1293" w:rsidRPr="000A1293" w:rsidRDefault="000A1293" w:rsidP="000A1293">
      <w:pPr>
        <w:pStyle w:val="standard"/>
        <w:ind w:left="540"/>
        <w:rPr>
          <w:rFonts w:ascii="Verdana" w:hAnsi="Verdana"/>
          <w:sz w:val="20"/>
          <w:szCs w:val="20"/>
        </w:rPr>
      </w:pPr>
      <w:r>
        <w:rPr>
          <w:rFonts w:ascii="Verdana" w:hAnsi="Verdana"/>
          <w:sz w:val="20"/>
          <w:szCs w:val="20"/>
        </w:rPr>
        <w:tab/>
      </w:r>
      <w:r>
        <w:rPr>
          <w:rFonts w:ascii="Verdana" w:hAnsi="Verdana"/>
          <w:sz w:val="20"/>
          <w:szCs w:val="20"/>
        </w:rPr>
        <w:tab/>
      </w:r>
      <w:proofErr w:type="gramStart"/>
      <w:r w:rsidRPr="000A1293">
        <w:rPr>
          <w:rFonts w:ascii="Verdana" w:hAnsi="Verdana"/>
          <w:sz w:val="20"/>
          <w:szCs w:val="20"/>
        </w:rPr>
        <w:t>doing</w:t>
      </w:r>
      <w:proofErr w:type="gramEnd"/>
      <w:r w:rsidRPr="000A1293">
        <w:rPr>
          <w:rFonts w:ascii="Verdana" w:hAnsi="Verdana"/>
          <w:sz w:val="20"/>
          <w:szCs w:val="20"/>
        </w:rPr>
        <w:t xml:space="preserve"> one particular type of job</w:t>
      </w:r>
    </w:p>
    <w:p w:rsidR="000A1293" w:rsidRPr="000A1293" w:rsidRDefault="000A1293" w:rsidP="000A1293">
      <w:pPr>
        <w:spacing w:after="0" w:line="240" w:lineRule="auto"/>
        <w:ind w:left="540"/>
        <w:rPr>
          <w:rFonts w:ascii="Verdana" w:hAnsi="Verdana"/>
          <w:sz w:val="20"/>
          <w:szCs w:val="20"/>
        </w:rPr>
      </w:pPr>
    </w:p>
    <w:p w:rsidR="000A1293" w:rsidRDefault="000A1293" w:rsidP="000A1293">
      <w:pPr>
        <w:spacing w:after="0" w:line="240" w:lineRule="auto"/>
        <w:ind w:left="540"/>
        <w:rPr>
          <w:rFonts w:ascii="Verdana" w:hAnsi="Verdana"/>
          <w:sz w:val="20"/>
          <w:szCs w:val="20"/>
          <w:u w:val="single"/>
        </w:rPr>
      </w:pPr>
      <w:r w:rsidRPr="000A1293">
        <w:rPr>
          <w:rFonts w:ascii="Verdana" w:hAnsi="Verdana"/>
          <w:sz w:val="20"/>
          <w:szCs w:val="20"/>
          <w:u w:val="single"/>
        </w:rPr>
        <w:t xml:space="preserve">Economics </w:t>
      </w:r>
    </w:p>
    <w:p w:rsidR="000A1293" w:rsidRPr="000A1293" w:rsidRDefault="000A1293" w:rsidP="000A1293">
      <w:pPr>
        <w:spacing w:after="0" w:line="240" w:lineRule="auto"/>
        <w:ind w:left="540"/>
        <w:rPr>
          <w:rFonts w:ascii="Verdana" w:hAnsi="Verdana"/>
          <w:sz w:val="20"/>
          <w:szCs w:val="20"/>
          <w:u w:val="single"/>
        </w:rPr>
      </w:pPr>
    </w:p>
    <w:p w:rsidR="000A1293" w:rsidRPr="000A1293" w:rsidRDefault="000A1293" w:rsidP="000A1293">
      <w:pPr>
        <w:pStyle w:val="standard"/>
        <w:ind w:left="540"/>
        <w:rPr>
          <w:rFonts w:ascii="Verdana" w:hAnsi="Verdana"/>
          <w:sz w:val="20"/>
          <w:szCs w:val="20"/>
        </w:rPr>
      </w:pPr>
      <w:r w:rsidRPr="000A1293">
        <w:rPr>
          <w:rFonts w:ascii="Verdana" w:hAnsi="Verdana"/>
          <w:sz w:val="20"/>
          <w:szCs w:val="20"/>
        </w:rPr>
        <w:t xml:space="preserve">1.4.3   </w:t>
      </w:r>
      <w:r>
        <w:rPr>
          <w:rFonts w:ascii="Verdana" w:hAnsi="Verdana"/>
          <w:sz w:val="20"/>
          <w:szCs w:val="20"/>
        </w:rPr>
        <w:tab/>
      </w:r>
      <w:r w:rsidRPr="000A1293">
        <w:rPr>
          <w:rFonts w:ascii="Verdana" w:hAnsi="Verdana"/>
          <w:sz w:val="20"/>
          <w:szCs w:val="20"/>
        </w:rPr>
        <w:t>Compare and contrast different jobs people do to earn income.</w:t>
      </w:r>
    </w:p>
    <w:p w:rsidR="000A1293" w:rsidRPr="000A1293" w:rsidRDefault="000A1293" w:rsidP="000A1293">
      <w:pPr>
        <w:pStyle w:val="standard"/>
        <w:ind w:left="540"/>
        <w:rPr>
          <w:rFonts w:ascii="Verdana" w:hAnsi="Verdana"/>
          <w:sz w:val="20"/>
          <w:szCs w:val="20"/>
        </w:rPr>
      </w:pPr>
    </w:p>
    <w:p w:rsidR="000A1293" w:rsidRDefault="000A1293" w:rsidP="000A1293">
      <w:pPr>
        <w:pStyle w:val="standard"/>
        <w:ind w:left="540"/>
        <w:rPr>
          <w:rFonts w:ascii="Verdana" w:hAnsi="Verdana"/>
          <w:sz w:val="20"/>
          <w:szCs w:val="20"/>
        </w:rPr>
      </w:pPr>
      <w:r w:rsidRPr="000A1293">
        <w:rPr>
          <w:rFonts w:ascii="Verdana" w:hAnsi="Verdana"/>
          <w:sz w:val="20"/>
          <w:szCs w:val="20"/>
        </w:rPr>
        <w:t xml:space="preserve">1.4.4   </w:t>
      </w:r>
      <w:r>
        <w:rPr>
          <w:rFonts w:ascii="Verdana" w:hAnsi="Verdana"/>
          <w:sz w:val="20"/>
          <w:szCs w:val="20"/>
        </w:rPr>
        <w:tab/>
      </w:r>
      <w:r w:rsidRPr="000A1293">
        <w:rPr>
          <w:rFonts w:ascii="Verdana" w:hAnsi="Verdana"/>
          <w:sz w:val="20"/>
          <w:szCs w:val="20"/>
        </w:rPr>
        <w:t xml:space="preserve">Describe how people in the school and community are both producers (people who use </w:t>
      </w:r>
    </w:p>
    <w:p w:rsidR="000A1293" w:rsidRPr="000A1293" w:rsidRDefault="000A1293" w:rsidP="000A1293">
      <w:pPr>
        <w:pStyle w:val="standard"/>
        <w:ind w:left="540"/>
        <w:rPr>
          <w:rFonts w:ascii="Verdana" w:hAnsi="Verdana"/>
          <w:sz w:val="20"/>
          <w:szCs w:val="20"/>
        </w:rPr>
      </w:pPr>
      <w:r>
        <w:rPr>
          <w:rFonts w:ascii="Verdana" w:hAnsi="Verdana"/>
          <w:sz w:val="20"/>
          <w:szCs w:val="20"/>
        </w:rPr>
        <w:tab/>
      </w:r>
      <w:r>
        <w:rPr>
          <w:rFonts w:ascii="Verdana" w:hAnsi="Verdana"/>
          <w:sz w:val="20"/>
          <w:szCs w:val="20"/>
        </w:rPr>
        <w:tab/>
      </w:r>
      <w:proofErr w:type="gramStart"/>
      <w:r w:rsidRPr="000A1293">
        <w:rPr>
          <w:rFonts w:ascii="Verdana" w:hAnsi="Verdana"/>
          <w:sz w:val="20"/>
          <w:szCs w:val="20"/>
        </w:rPr>
        <w:t>resources</w:t>
      </w:r>
      <w:proofErr w:type="gramEnd"/>
      <w:r w:rsidRPr="000A1293">
        <w:rPr>
          <w:rFonts w:ascii="Verdana" w:hAnsi="Verdana"/>
          <w:sz w:val="20"/>
          <w:szCs w:val="20"/>
        </w:rPr>
        <w:t xml:space="preserve"> to provide goods or services) and consumers (people who use goods or services).</w:t>
      </w:r>
    </w:p>
    <w:p w:rsidR="000A1293" w:rsidRPr="000A1293" w:rsidRDefault="000A1293" w:rsidP="000A1293">
      <w:pPr>
        <w:spacing w:after="0" w:line="240" w:lineRule="auto"/>
        <w:rPr>
          <w:rFonts w:ascii="Verdana" w:eastAsia="Calibri" w:hAnsi="Verdana" w:cs="Times New Roman"/>
          <w:sz w:val="20"/>
          <w:szCs w:val="20"/>
        </w:rPr>
      </w:pPr>
    </w:p>
    <w:p w:rsidR="000A1293" w:rsidRPr="000A1293" w:rsidRDefault="000A1293" w:rsidP="000A1293">
      <w:pPr>
        <w:spacing w:after="0" w:line="240" w:lineRule="auto"/>
        <w:ind w:left="1440" w:hanging="900"/>
        <w:rPr>
          <w:rFonts w:ascii="Verdana" w:eastAsia="Calibri" w:hAnsi="Verdana" w:cs="Times New Roman"/>
          <w:sz w:val="20"/>
          <w:szCs w:val="20"/>
        </w:rPr>
      </w:pPr>
      <w:r w:rsidRPr="000A1293">
        <w:rPr>
          <w:rFonts w:ascii="Verdana" w:eastAsia="Calibri" w:hAnsi="Verdana" w:cs="Times New Roman"/>
          <w:sz w:val="20"/>
          <w:szCs w:val="20"/>
        </w:rPr>
        <w:t>2.4.1</w:t>
      </w:r>
      <w:r w:rsidRPr="000A1293">
        <w:rPr>
          <w:rFonts w:ascii="Verdana" w:eastAsia="Calibri" w:hAnsi="Verdana" w:cs="Times New Roman"/>
          <w:sz w:val="20"/>
          <w:szCs w:val="20"/>
        </w:rPr>
        <w:tab/>
        <w:t>Define the three types of productive resources (human resources, natural resources and capital resources</w:t>
      </w:r>
      <w:r w:rsidR="001C0536">
        <w:rPr>
          <w:rFonts w:ascii="Verdana" w:eastAsia="Calibri" w:hAnsi="Verdana" w:cs="Times New Roman"/>
          <w:sz w:val="20"/>
          <w:szCs w:val="20"/>
        </w:rPr>
        <w:t>)</w:t>
      </w:r>
      <w:r>
        <w:rPr>
          <w:rFonts w:ascii="Verdana" w:eastAsia="Calibri" w:hAnsi="Verdana" w:cs="Times New Roman"/>
          <w:sz w:val="20"/>
          <w:szCs w:val="20"/>
        </w:rPr>
        <w:t>.</w:t>
      </w:r>
      <w:r w:rsidRPr="000A1293">
        <w:rPr>
          <w:rFonts w:ascii="Verdana" w:eastAsia="Calibri" w:hAnsi="Verdana" w:cs="Times New Roman"/>
          <w:b/>
          <w:sz w:val="20"/>
          <w:szCs w:val="20"/>
        </w:rPr>
        <w:t xml:space="preserve"> </w:t>
      </w:r>
      <w:r w:rsidRPr="000A1293">
        <w:rPr>
          <w:rStyle w:val="Strong"/>
          <w:rFonts w:ascii="Verdana" w:hAnsi="Verdana" w:cs="Arial"/>
          <w:b w:val="0"/>
          <w:sz w:val="20"/>
          <w:szCs w:val="20"/>
          <w:shd w:val="clear" w:color="auto" w:fill="FFFFFF"/>
        </w:rPr>
        <w:t>Human resources</w:t>
      </w:r>
      <w:r>
        <w:rPr>
          <w:rStyle w:val="apple-converted-space"/>
          <w:rFonts w:ascii="Verdana" w:hAnsi="Verdana" w:cs="Arial"/>
          <w:b/>
          <w:sz w:val="20"/>
          <w:szCs w:val="20"/>
          <w:shd w:val="clear" w:color="auto" w:fill="FFFFFF"/>
        </w:rPr>
        <w:t xml:space="preserve"> </w:t>
      </w:r>
      <w:r>
        <w:rPr>
          <w:rStyle w:val="apple-converted-space"/>
          <w:rFonts w:ascii="Verdana" w:hAnsi="Verdana" w:cs="Arial"/>
          <w:sz w:val="20"/>
          <w:szCs w:val="20"/>
          <w:shd w:val="clear" w:color="auto" w:fill="FFFFFF"/>
        </w:rPr>
        <w:t>(</w:t>
      </w:r>
      <w:r w:rsidRPr="000A1293">
        <w:rPr>
          <w:rStyle w:val="Strong"/>
          <w:rFonts w:ascii="Verdana" w:hAnsi="Verdana" w:cs="Arial"/>
          <w:b w:val="0"/>
          <w:sz w:val="20"/>
          <w:szCs w:val="20"/>
          <w:shd w:val="clear" w:color="auto" w:fill="FFFFFF"/>
        </w:rPr>
        <w:t>labor</w:t>
      </w:r>
      <w:r w:rsidRPr="000A1293">
        <w:rPr>
          <w:rFonts w:ascii="Verdana" w:hAnsi="Verdana" w:cs="Arial"/>
          <w:sz w:val="20"/>
          <w:szCs w:val="20"/>
          <w:shd w:val="clear" w:color="auto" w:fill="FFFFFF"/>
        </w:rPr>
        <w:t>)</w:t>
      </w:r>
      <w:r>
        <w:rPr>
          <w:rFonts w:ascii="Verdana" w:hAnsi="Verdana" w:cs="Arial"/>
          <w:sz w:val="20"/>
          <w:szCs w:val="20"/>
          <w:shd w:val="clear" w:color="auto" w:fill="FFFFFF"/>
        </w:rPr>
        <w:t>:</w:t>
      </w:r>
      <w:r w:rsidRPr="000A1293">
        <w:rPr>
          <w:rFonts w:ascii="Verdana" w:hAnsi="Verdana" w:cs="Arial"/>
          <w:sz w:val="20"/>
          <w:szCs w:val="20"/>
          <w:shd w:val="clear" w:color="auto" w:fill="FFFFFF"/>
        </w:rPr>
        <w:t xml:space="preserve"> describe the human work effort, both physical and mental, expended in production</w:t>
      </w:r>
      <w:r>
        <w:rPr>
          <w:rFonts w:ascii="Verdana" w:hAnsi="Verdana" w:cs="Arial"/>
          <w:sz w:val="20"/>
          <w:szCs w:val="20"/>
          <w:shd w:val="clear" w:color="auto" w:fill="FFFFFF"/>
        </w:rPr>
        <w:t>.</w:t>
      </w:r>
    </w:p>
    <w:p w:rsidR="000A1293" w:rsidRPr="000A1293" w:rsidRDefault="000A1293" w:rsidP="000A1293">
      <w:pPr>
        <w:spacing w:after="0" w:line="240" w:lineRule="auto"/>
        <w:ind w:left="540"/>
        <w:rPr>
          <w:rFonts w:ascii="Verdana" w:eastAsia="Calibri" w:hAnsi="Verdana" w:cs="Times New Roman"/>
          <w:sz w:val="20"/>
          <w:szCs w:val="20"/>
        </w:rPr>
      </w:pPr>
    </w:p>
    <w:p w:rsidR="000A1293" w:rsidRPr="000A1293" w:rsidRDefault="000A1293" w:rsidP="000A1293">
      <w:pPr>
        <w:spacing w:after="0" w:line="240" w:lineRule="auto"/>
        <w:ind w:left="1440" w:hanging="900"/>
        <w:rPr>
          <w:rFonts w:ascii="Verdana" w:eastAsia="Calibri" w:hAnsi="Verdana" w:cs="Times New Roman"/>
          <w:sz w:val="20"/>
          <w:szCs w:val="20"/>
        </w:rPr>
      </w:pPr>
      <w:r w:rsidRPr="000A1293">
        <w:rPr>
          <w:rFonts w:ascii="Verdana" w:eastAsia="Calibri" w:hAnsi="Verdana" w:cs="Times New Roman"/>
          <w:sz w:val="20"/>
          <w:szCs w:val="20"/>
        </w:rPr>
        <w:t>2.4.3</w:t>
      </w:r>
      <w:r w:rsidRPr="000A1293">
        <w:rPr>
          <w:rFonts w:ascii="Verdana" w:eastAsia="Calibri" w:hAnsi="Verdana" w:cs="Times New Roman"/>
          <w:sz w:val="20"/>
          <w:szCs w:val="20"/>
        </w:rPr>
        <w:tab/>
        <w:t>Identify comm</w:t>
      </w:r>
      <w:r w:rsidRPr="000A1293">
        <w:rPr>
          <w:rFonts w:ascii="Verdana" w:hAnsi="Verdana"/>
          <w:sz w:val="20"/>
          <w:szCs w:val="20"/>
        </w:rPr>
        <w:t>unity workers who provide goods and services</w:t>
      </w:r>
      <w:r w:rsidRPr="000A1293">
        <w:rPr>
          <w:rFonts w:ascii="Verdana" w:eastAsia="Calibri" w:hAnsi="Verdana" w:cs="Times New Roman"/>
          <w:sz w:val="20"/>
          <w:szCs w:val="20"/>
        </w:rPr>
        <w:t xml:space="preserve"> for the rest of the community and explain how their jobs benefit people in the community.</w:t>
      </w:r>
    </w:p>
    <w:p w:rsidR="000A1293" w:rsidRPr="000A1293" w:rsidRDefault="000A1293" w:rsidP="000A1293">
      <w:pPr>
        <w:spacing w:after="0" w:line="240" w:lineRule="auto"/>
        <w:ind w:left="540"/>
        <w:rPr>
          <w:rFonts w:ascii="Verdana" w:hAnsi="Verdana"/>
          <w:sz w:val="20"/>
          <w:szCs w:val="20"/>
        </w:rPr>
      </w:pPr>
    </w:p>
    <w:p w:rsidR="000A1293" w:rsidRPr="000A1293" w:rsidRDefault="000A1293" w:rsidP="000A1293">
      <w:pPr>
        <w:spacing w:after="0" w:line="240" w:lineRule="auto"/>
        <w:ind w:left="1440" w:hanging="900"/>
        <w:rPr>
          <w:rFonts w:ascii="Verdana" w:eastAsia="Calibri" w:hAnsi="Verdana" w:cs="Times New Roman"/>
          <w:sz w:val="20"/>
          <w:szCs w:val="20"/>
        </w:rPr>
      </w:pPr>
      <w:r w:rsidRPr="000A1293">
        <w:rPr>
          <w:rFonts w:ascii="Verdana" w:eastAsia="Calibri" w:hAnsi="Verdana" w:cs="Times New Roman"/>
          <w:sz w:val="20"/>
          <w:szCs w:val="20"/>
        </w:rPr>
        <w:t>2.4.7</w:t>
      </w:r>
      <w:r w:rsidRPr="000A1293">
        <w:rPr>
          <w:rFonts w:ascii="Verdana" w:eastAsia="Calibri" w:hAnsi="Verdana" w:cs="Times New Roman"/>
          <w:sz w:val="20"/>
          <w:szCs w:val="20"/>
        </w:rPr>
        <w:tab/>
        <w:t>Define specialization and identify specialized jobs in the school and community.</w:t>
      </w:r>
      <w:r>
        <w:rPr>
          <w:rFonts w:ascii="Verdana" w:eastAsia="Calibri" w:hAnsi="Verdana" w:cs="Times New Roman"/>
          <w:sz w:val="20"/>
          <w:szCs w:val="20"/>
        </w:rPr>
        <w:t xml:space="preserve"> </w:t>
      </w:r>
      <w:r w:rsidRPr="000A1293">
        <w:rPr>
          <w:rFonts w:ascii="Verdana" w:eastAsia="Calibri" w:hAnsi="Verdana" w:cs="Times New Roman"/>
          <w:sz w:val="20"/>
          <w:szCs w:val="20"/>
        </w:rPr>
        <w:t>Example: Teachers, school nurses and firefighters specialize in particular kinds of jobs</w:t>
      </w:r>
      <w:r>
        <w:rPr>
          <w:rFonts w:ascii="Verdana" w:hAnsi="Verdana"/>
          <w:sz w:val="20"/>
          <w:szCs w:val="20"/>
        </w:rPr>
        <w:t xml:space="preserve">. </w:t>
      </w:r>
      <w:r w:rsidRPr="000A1293">
        <w:rPr>
          <w:rFonts w:ascii="Verdana" w:eastAsia="Calibri" w:hAnsi="Verdana" w:cs="Times New Roman"/>
          <w:sz w:val="20"/>
          <w:szCs w:val="20"/>
        </w:rPr>
        <w:t>Specialization: the performance of specific tasks or jobs</w:t>
      </w:r>
    </w:p>
    <w:p w:rsidR="000A1293" w:rsidRPr="000A1293" w:rsidRDefault="000A1293" w:rsidP="000A1293">
      <w:pPr>
        <w:spacing w:after="0" w:line="240" w:lineRule="auto"/>
        <w:ind w:left="540"/>
        <w:rPr>
          <w:rFonts w:ascii="Verdana" w:eastAsia="Calibri" w:hAnsi="Verdana" w:cs="Times New Roman"/>
          <w:sz w:val="20"/>
          <w:szCs w:val="20"/>
        </w:rPr>
      </w:pPr>
    </w:p>
    <w:p w:rsidR="000A1293" w:rsidRPr="000A1293" w:rsidRDefault="000A1293" w:rsidP="000A1293">
      <w:pPr>
        <w:spacing w:after="0" w:line="240" w:lineRule="auto"/>
        <w:ind w:left="1440" w:hanging="900"/>
        <w:rPr>
          <w:rFonts w:ascii="Verdana" w:hAnsi="Verdana"/>
          <w:sz w:val="20"/>
          <w:szCs w:val="20"/>
        </w:rPr>
      </w:pPr>
      <w:r w:rsidRPr="000A1293">
        <w:rPr>
          <w:rFonts w:ascii="Verdana" w:eastAsia="Calibri" w:hAnsi="Verdana" w:cs="Times New Roman"/>
          <w:sz w:val="20"/>
          <w:szCs w:val="20"/>
        </w:rPr>
        <w:t>2.4.9</w:t>
      </w:r>
      <w:r w:rsidRPr="000A1293">
        <w:rPr>
          <w:rFonts w:ascii="Verdana" w:eastAsia="Calibri" w:hAnsi="Verdana" w:cs="Times New Roman"/>
          <w:sz w:val="20"/>
          <w:szCs w:val="20"/>
        </w:rPr>
        <w:tab/>
      </w:r>
      <w:r w:rsidRPr="000A1293">
        <w:rPr>
          <w:rFonts w:ascii="Verdana" w:hAnsi="Verdana"/>
          <w:sz w:val="20"/>
          <w:szCs w:val="20"/>
        </w:rPr>
        <w:t>Explain the concept of savings and why th</w:t>
      </w:r>
      <w:r w:rsidR="00364DC5">
        <w:rPr>
          <w:rFonts w:ascii="Verdana" w:hAnsi="Verdana"/>
          <w:sz w:val="20"/>
          <w:szCs w:val="20"/>
        </w:rPr>
        <w:t>is is important for individuals.</w:t>
      </w:r>
    </w:p>
    <w:p w:rsidR="000A1293" w:rsidRPr="000A1293" w:rsidRDefault="000A1293" w:rsidP="000A1293">
      <w:pPr>
        <w:pStyle w:val="ListParagraph"/>
        <w:spacing w:after="0" w:line="240" w:lineRule="auto"/>
        <w:ind w:left="2340"/>
        <w:rPr>
          <w:rFonts w:ascii="Verdana" w:hAnsi="Verdana"/>
          <w:sz w:val="20"/>
          <w:szCs w:val="20"/>
        </w:rPr>
      </w:pPr>
    </w:p>
    <w:p w:rsidR="000A1293" w:rsidRPr="000A1293" w:rsidRDefault="000A1293" w:rsidP="000A1293">
      <w:pPr>
        <w:spacing w:after="0" w:line="240" w:lineRule="auto"/>
        <w:ind w:left="1440" w:hanging="900"/>
        <w:rPr>
          <w:rFonts w:ascii="Verdana" w:hAnsi="Verdana"/>
          <w:sz w:val="20"/>
          <w:szCs w:val="20"/>
        </w:rPr>
      </w:pPr>
      <w:r w:rsidRPr="000A1293">
        <w:rPr>
          <w:rFonts w:ascii="Verdana" w:hAnsi="Verdana"/>
          <w:sz w:val="20"/>
          <w:szCs w:val="20"/>
        </w:rPr>
        <w:t>3.4.9</w:t>
      </w:r>
      <w:r w:rsidRPr="000A1293">
        <w:rPr>
          <w:rFonts w:ascii="Verdana" w:hAnsi="Verdana"/>
          <w:sz w:val="20"/>
          <w:szCs w:val="20"/>
        </w:rPr>
        <w:tab/>
        <w:t>Identify different ways people save their income and explain advantages and disadvantages of each.</w:t>
      </w:r>
      <w:r w:rsidRPr="000A1293" w:rsidDel="00314153">
        <w:rPr>
          <w:rFonts w:ascii="Verdana" w:hAnsi="Verdana"/>
          <w:sz w:val="20"/>
          <w:szCs w:val="20"/>
        </w:rPr>
        <w:t xml:space="preserve"> </w:t>
      </w:r>
      <w:r w:rsidRPr="000A1293">
        <w:rPr>
          <w:rFonts w:ascii="Verdana" w:hAnsi="Verdana"/>
          <w:sz w:val="20"/>
          <w:szCs w:val="20"/>
        </w:rPr>
        <w:t>Example: Home “piggy bank,” savings accounts, etc.</w:t>
      </w:r>
    </w:p>
    <w:sectPr w:rsidR="000A1293" w:rsidRPr="000A1293" w:rsidSect="000D15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CDD" w:rsidRDefault="00AD7CDD" w:rsidP="000D15AB">
      <w:pPr>
        <w:spacing w:after="0" w:line="240" w:lineRule="auto"/>
      </w:pPr>
      <w:r>
        <w:separator/>
      </w:r>
    </w:p>
  </w:endnote>
  <w:endnote w:type="continuationSeparator" w:id="0">
    <w:p w:rsidR="00AD7CDD" w:rsidRDefault="00AD7CDD" w:rsidP="000D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ta">
    <w:altName w:val="Meta"/>
    <w:panose1 w:val="00000000000000000000"/>
    <w:charset w:val="00"/>
    <w:family w:val="swiss"/>
    <w:notTrueType/>
    <w:pitch w:val="default"/>
    <w:sig w:usb0="00000003" w:usb1="00000000" w:usb2="00000000" w:usb3="00000000" w:csb0="00000001" w:csb1="00000000"/>
  </w:font>
  <w:font w:name="Meta Normal">
    <w:altName w:val="Meta Norm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chet Bold">
    <w:panose1 w:val="020F0803030404040204"/>
    <w:charset w:val="00"/>
    <w:family w:val="swiss"/>
    <w:pitch w:val="variable"/>
    <w:sig w:usb0="0000000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CDD" w:rsidRDefault="00AD7CDD" w:rsidP="000D15AB">
      <w:pPr>
        <w:spacing w:after="0" w:line="240" w:lineRule="auto"/>
      </w:pPr>
      <w:r>
        <w:separator/>
      </w:r>
    </w:p>
  </w:footnote>
  <w:footnote w:type="continuationSeparator" w:id="0">
    <w:p w:rsidR="00AD7CDD" w:rsidRDefault="00AD7CDD" w:rsidP="000D15AB">
      <w:pPr>
        <w:spacing w:after="0" w:line="240" w:lineRule="auto"/>
      </w:pPr>
      <w:r>
        <w:continuationSeparator/>
      </w:r>
    </w:p>
  </w:footnote>
  <w:footnote w:id="1">
    <w:p w:rsidR="000A1293" w:rsidRPr="000A1293" w:rsidRDefault="000A1293" w:rsidP="000A1293">
      <w:pPr>
        <w:pStyle w:val="Pa8"/>
        <w:rPr>
          <w:rFonts w:ascii="Verdana" w:hAnsi="Verdana" w:cs="Meta Normal"/>
          <w:color w:val="000000"/>
          <w:sz w:val="16"/>
          <w:szCs w:val="16"/>
        </w:rPr>
      </w:pPr>
      <w:r w:rsidRPr="000A1293">
        <w:rPr>
          <w:rStyle w:val="FootnoteReference"/>
          <w:sz w:val="16"/>
          <w:szCs w:val="16"/>
        </w:rPr>
        <w:footnoteRef/>
      </w:r>
      <w:r w:rsidRPr="000A1293">
        <w:rPr>
          <w:sz w:val="16"/>
          <w:szCs w:val="16"/>
        </w:rPr>
        <w:t xml:space="preserve"> </w:t>
      </w:r>
      <w:r w:rsidRPr="000A1293">
        <w:rPr>
          <w:rFonts w:ascii="Verdana" w:hAnsi="Verdana" w:cs="Meta Normal"/>
          <w:color w:val="000000"/>
          <w:sz w:val="16"/>
          <w:szCs w:val="16"/>
        </w:rPr>
        <w:t xml:space="preserve">Adapted from </w:t>
      </w:r>
      <w:r w:rsidRPr="000A1293">
        <w:rPr>
          <w:rFonts w:ascii="Verdana" w:hAnsi="Verdana" w:cs="Meta Normal"/>
          <w:i/>
          <w:color w:val="000000"/>
          <w:sz w:val="16"/>
          <w:szCs w:val="16"/>
        </w:rPr>
        <w:t xml:space="preserve">Believing the College Dream Curriculum. </w:t>
      </w:r>
      <w:r w:rsidRPr="000A1293">
        <w:rPr>
          <w:rFonts w:ascii="Verdana" w:hAnsi="Verdana" w:cs="Meta Normal"/>
          <w:color w:val="000000"/>
          <w:sz w:val="16"/>
          <w:szCs w:val="16"/>
        </w:rPr>
        <w:t>College Tools for Schools (2011). http://collegetools.berkeley.edu/about.php</w:t>
      </w:r>
    </w:p>
    <w:p w:rsidR="000A1293" w:rsidRDefault="000A129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AB" w:rsidRDefault="000D15AB" w:rsidP="000D15AB">
    <w:pPr>
      <w:spacing w:after="0" w:line="240" w:lineRule="auto"/>
      <w:ind w:right="340"/>
      <w:outlineLvl w:val="2"/>
      <w:rPr>
        <w:rFonts w:ascii="Verdana" w:eastAsia="Times New Roman" w:hAnsi="Verdana" w:cs="Arial"/>
        <w:b/>
        <w:bCs/>
        <w:color w:val="813335"/>
        <w:sz w:val="24"/>
        <w:szCs w:val="24"/>
      </w:rPr>
    </w:pPr>
    <w:r>
      <w:rPr>
        <w:rFonts w:ascii="Verdana" w:eastAsia="Times New Roman" w:hAnsi="Verdana" w:cs="Arial"/>
        <w:b/>
        <w:bCs/>
        <w:noProof/>
        <w:color w:val="813335"/>
        <w:sz w:val="24"/>
        <w:szCs w:val="24"/>
      </w:rPr>
      <w:drawing>
        <wp:anchor distT="0" distB="0" distL="114300" distR="114300" simplePos="0" relativeHeight="251659264" behindDoc="1" locked="0" layoutInCell="1" allowOverlap="1">
          <wp:simplePos x="0" y="0"/>
          <wp:positionH relativeFrom="column">
            <wp:posOffset>5624195</wp:posOffset>
          </wp:positionH>
          <wp:positionV relativeFrom="paragraph">
            <wp:posOffset>-198755</wp:posOffset>
          </wp:positionV>
          <wp:extent cx="1216025" cy="819150"/>
          <wp:effectExtent l="0" t="0" r="0" b="0"/>
          <wp:wrapTight wrapText="bothSides">
            <wp:wrapPolygon edited="0">
              <wp:start x="9136" y="0"/>
              <wp:lineTo x="3045" y="8540"/>
              <wp:lineTo x="4737" y="17079"/>
              <wp:lineTo x="6091" y="21098"/>
              <wp:lineTo x="15904" y="21098"/>
              <wp:lineTo x="18949" y="9042"/>
              <wp:lineTo x="12182" y="0"/>
              <wp:lineTo x="9136" y="0"/>
            </wp:wrapPolygon>
          </wp:wrapTight>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r w:rsidR="00364DC5">
      <w:rPr>
        <w:rFonts w:ascii="Verdana" w:eastAsia="Times New Roman" w:hAnsi="Verdana" w:cs="Arial"/>
        <w:b/>
        <w:bCs/>
        <w:color w:val="813335"/>
        <w:sz w:val="24"/>
        <w:szCs w:val="24"/>
      </w:rPr>
      <w:t>THE</w:t>
    </w:r>
    <w:r>
      <w:rPr>
        <w:rFonts w:ascii="Verdana" w:eastAsia="Times New Roman" w:hAnsi="Verdana" w:cs="Arial"/>
        <w:b/>
        <w:bCs/>
        <w:color w:val="813335"/>
        <w:sz w:val="24"/>
        <w:szCs w:val="24"/>
      </w:rPr>
      <w:t xml:space="preserve"> PROMISE</w:t>
    </w:r>
  </w:p>
  <w:p w:rsidR="000D15AB" w:rsidRPr="000D15AB" w:rsidRDefault="000D15AB" w:rsidP="00433C50">
    <w:pPr>
      <w:spacing w:after="0" w:line="240" w:lineRule="auto"/>
      <w:ind w:right="340"/>
      <w:outlineLvl w:val="2"/>
      <w:rPr>
        <w:rFonts w:ascii="Verdana" w:eastAsia="Times New Roman" w:hAnsi="Verdana" w:cs="Arial"/>
        <w:b/>
        <w:bCs/>
        <w:color w:val="813335"/>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D12"/>
    <w:multiLevelType w:val="hybridMultilevel"/>
    <w:tmpl w:val="AF8056A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14B754B"/>
    <w:multiLevelType w:val="hybridMultilevel"/>
    <w:tmpl w:val="CD247C92"/>
    <w:lvl w:ilvl="0" w:tplc="0FAA47D2">
      <w:start w:val="1"/>
      <w:numFmt w:val="bullet"/>
      <w:lvlText w:val=""/>
      <w:lvlJc w:val="left"/>
      <w:pPr>
        <w:ind w:left="360" w:hanging="360"/>
      </w:pPr>
      <w:rPr>
        <w:rFonts w:ascii="Symbol" w:hAnsi="Symbol" w:hint="default"/>
        <w:color w:val="0000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61078F"/>
    <w:multiLevelType w:val="hybridMultilevel"/>
    <w:tmpl w:val="BD944A7E"/>
    <w:lvl w:ilvl="0" w:tplc="45AC4920">
      <w:start w:val="1"/>
      <w:numFmt w:val="bullet"/>
      <w:lvlText w:val=""/>
      <w:lvlJc w:val="left"/>
      <w:pPr>
        <w:tabs>
          <w:tab w:val="num" w:pos="360"/>
        </w:tabs>
        <w:ind w:left="360" w:hanging="360"/>
      </w:pPr>
      <w:rPr>
        <w:rFonts w:ascii="Symbol" w:hAnsi="Symbol" w:hint="default"/>
        <w:color w:val="000000"/>
      </w:rPr>
    </w:lvl>
    <w:lvl w:ilvl="1" w:tplc="1AF8E332" w:tentative="1">
      <w:start w:val="1"/>
      <w:numFmt w:val="bullet"/>
      <w:lvlText w:val="•"/>
      <w:lvlJc w:val="left"/>
      <w:pPr>
        <w:tabs>
          <w:tab w:val="num" w:pos="1080"/>
        </w:tabs>
        <w:ind w:left="1080" w:hanging="360"/>
      </w:pPr>
      <w:rPr>
        <w:rFonts w:ascii="Times New Roman" w:hAnsi="Times New Roman" w:hint="default"/>
      </w:rPr>
    </w:lvl>
    <w:lvl w:ilvl="2" w:tplc="A21C75F2" w:tentative="1">
      <w:start w:val="1"/>
      <w:numFmt w:val="bullet"/>
      <w:lvlText w:val="•"/>
      <w:lvlJc w:val="left"/>
      <w:pPr>
        <w:tabs>
          <w:tab w:val="num" w:pos="1800"/>
        </w:tabs>
        <w:ind w:left="1800" w:hanging="360"/>
      </w:pPr>
      <w:rPr>
        <w:rFonts w:ascii="Times New Roman" w:hAnsi="Times New Roman" w:hint="default"/>
      </w:rPr>
    </w:lvl>
    <w:lvl w:ilvl="3" w:tplc="336C1B34" w:tentative="1">
      <w:start w:val="1"/>
      <w:numFmt w:val="bullet"/>
      <w:lvlText w:val="•"/>
      <w:lvlJc w:val="left"/>
      <w:pPr>
        <w:tabs>
          <w:tab w:val="num" w:pos="2520"/>
        </w:tabs>
        <w:ind w:left="2520" w:hanging="360"/>
      </w:pPr>
      <w:rPr>
        <w:rFonts w:ascii="Times New Roman" w:hAnsi="Times New Roman" w:hint="default"/>
      </w:rPr>
    </w:lvl>
    <w:lvl w:ilvl="4" w:tplc="F62459BE" w:tentative="1">
      <w:start w:val="1"/>
      <w:numFmt w:val="bullet"/>
      <w:lvlText w:val="•"/>
      <w:lvlJc w:val="left"/>
      <w:pPr>
        <w:tabs>
          <w:tab w:val="num" w:pos="3240"/>
        </w:tabs>
        <w:ind w:left="3240" w:hanging="360"/>
      </w:pPr>
      <w:rPr>
        <w:rFonts w:ascii="Times New Roman" w:hAnsi="Times New Roman" w:hint="default"/>
      </w:rPr>
    </w:lvl>
    <w:lvl w:ilvl="5" w:tplc="400099B4" w:tentative="1">
      <w:start w:val="1"/>
      <w:numFmt w:val="bullet"/>
      <w:lvlText w:val="•"/>
      <w:lvlJc w:val="left"/>
      <w:pPr>
        <w:tabs>
          <w:tab w:val="num" w:pos="3960"/>
        </w:tabs>
        <w:ind w:left="3960" w:hanging="360"/>
      </w:pPr>
      <w:rPr>
        <w:rFonts w:ascii="Times New Roman" w:hAnsi="Times New Roman" w:hint="default"/>
      </w:rPr>
    </w:lvl>
    <w:lvl w:ilvl="6" w:tplc="00A05876" w:tentative="1">
      <w:start w:val="1"/>
      <w:numFmt w:val="bullet"/>
      <w:lvlText w:val="•"/>
      <w:lvlJc w:val="left"/>
      <w:pPr>
        <w:tabs>
          <w:tab w:val="num" w:pos="4680"/>
        </w:tabs>
        <w:ind w:left="4680" w:hanging="360"/>
      </w:pPr>
      <w:rPr>
        <w:rFonts w:ascii="Times New Roman" w:hAnsi="Times New Roman" w:hint="default"/>
      </w:rPr>
    </w:lvl>
    <w:lvl w:ilvl="7" w:tplc="012AF532" w:tentative="1">
      <w:start w:val="1"/>
      <w:numFmt w:val="bullet"/>
      <w:lvlText w:val="•"/>
      <w:lvlJc w:val="left"/>
      <w:pPr>
        <w:tabs>
          <w:tab w:val="num" w:pos="5400"/>
        </w:tabs>
        <w:ind w:left="5400" w:hanging="360"/>
      </w:pPr>
      <w:rPr>
        <w:rFonts w:ascii="Times New Roman" w:hAnsi="Times New Roman" w:hint="default"/>
      </w:rPr>
    </w:lvl>
    <w:lvl w:ilvl="8" w:tplc="0B1C9EB0"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526E1987"/>
    <w:multiLevelType w:val="multilevel"/>
    <w:tmpl w:val="00CE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BB1299"/>
    <w:multiLevelType w:val="hybridMultilevel"/>
    <w:tmpl w:val="465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AB"/>
    <w:rsid w:val="00011551"/>
    <w:rsid w:val="000A1293"/>
    <w:rsid w:val="000D15AB"/>
    <w:rsid w:val="00130409"/>
    <w:rsid w:val="00143A27"/>
    <w:rsid w:val="001C0536"/>
    <w:rsid w:val="001E3685"/>
    <w:rsid w:val="002D5E09"/>
    <w:rsid w:val="00364DC5"/>
    <w:rsid w:val="0042583F"/>
    <w:rsid w:val="00467D1D"/>
    <w:rsid w:val="005952CD"/>
    <w:rsid w:val="005C2B1B"/>
    <w:rsid w:val="005E419C"/>
    <w:rsid w:val="00646F49"/>
    <w:rsid w:val="007C18C3"/>
    <w:rsid w:val="007E53A2"/>
    <w:rsid w:val="008A571B"/>
    <w:rsid w:val="009B3FF6"/>
    <w:rsid w:val="00A8553D"/>
    <w:rsid w:val="00AD7CDD"/>
    <w:rsid w:val="00C3084F"/>
    <w:rsid w:val="00CA4BD6"/>
    <w:rsid w:val="00D25EF9"/>
    <w:rsid w:val="00D7204A"/>
    <w:rsid w:val="00DA5522"/>
    <w:rsid w:val="00E16FB7"/>
    <w:rsid w:val="00F72C84"/>
    <w:rsid w:val="00F9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52E9F-D9C5-4604-B0C7-75DE16F6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AB"/>
  </w:style>
  <w:style w:type="paragraph" w:styleId="Heading1">
    <w:name w:val="heading 1"/>
    <w:basedOn w:val="Normal"/>
    <w:next w:val="Normal"/>
    <w:link w:val="Heading1Char"/>
    <w:uiPriority w:val="9"/>
    <w:qFormat/>
    <w:rsid w:val="000D15AB"/>
    <w:pPr>
      <w:keepNext/>
      <w:keepLines/>
      <w:spacing w:before="480" w:after="0"/>
      <w:outlineLvl w:val="0"/>
    </w:pPr>
    <w:rPr>
      <w:rFonts w:ascii="Cambria" w:eastAsia="Times New Roman" w:hAnsi="Cambria"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5AB"/>
    <w:rPr>
      <w:rFonts w:ascii="Cambria" w:eastAsia="Times New Roman" w:hAnsi="Cambria" w:cs="Times New Roman"/>
      <w:b/>
      <w:bCs/>
      <w:color w:val="345A8A"/>
      <w:sz w:val="32"/>
      <w:szCs w:val="32"/>
    </w:rPr>
  </w:style>
  <w:style w:type="character" w:customStyle="1" w:styleId="A6">
    <w:name w:val="A6"/>
    <w:uiPriority w:val="99"/>
    <w:rsid w:val="000D15AB"/>
    <w:rPr>
      <w:rFonts w:ascii="Meta" w:hAnsi="Meta" w:cs="Meta"/>
      <w:color w:val="000000"/>
      <w:sz w:val="64"/>
      <w:szCs w:val="64"/>
    </w:rPr>
  </w:style>
  <w:style w:type="paragraph" w:customStyle="1" w:styleId="Pa5">
    <w:name w:val="Pa5"/>
    <w:basedOn w:val="Normal"/>
    <w:next w:val="Normal"/>
    <w:uiPriority w:val="99"/>
    <w:rsid w:val="000D15AB"/>
    <w:pPr>
      <w:autoSpaceDE w:val="0"/>
      <w:autoSpaceDN w:val="0"/>
      <w:adjustRightInd w:val="0"/>
      <w:spacing w:after="0" w:line="181" w:lineRule="atLeast"/>
    </w:pPr>
    <w:rPr>
      <w:rFonts w:ascii="Meta Normal" w:hAnsi="Meta Normal"/>
      <w:sz w:val="24"/>
      <w:szCs w:val="24"/>
    </w:rPr>
  </w:style>
  <w:style w:type="character" w:customStyle="1" w:styleId="A3">
    <w:name w:val="A3"/>
    <w:uiPriority w:val="99"/>
    <w:rsid w:val="000D15AB"/>
    <w:rPr>
      <w:rFonts w:cs="Meta Normal"/>
      <w:color w:val="000000"/>
    </w:rPr>
  </w:style>
  <w:style w:type="paragraph" w:customStyle="1" w:styleId="Pa8">
    <w:name w:val="Pa8"/>
    <w:basedOn w:val="Normal"/>
    <w:next w:val="Normal"/>
    <w:uiPriority w:val="99"/>
    <w:rsid w:val="000D15AB"/>
    <w:pPr>
      <w:autoSpaceDE w:val="0"/>
      <w:autoSpaceDN w:val="0"/>
      <w:adjustRightInd w:val="0"/>
      <w:spacing w:after="0" w:line="181" w:lineRule="atLeast"/>
    </w:pPr>
    <w:rPr>
      <w:rFonts w:ascii="Meta Normal" w:hAnsi="Meta Normal"/>
      <w:sz w:val="24"/>
      <w:szCs w:val="24"/>
    </w:rPr>
  </w:style>
  <w:style w:type="paragraph" w:styleId="NoSpacing">
    <w:name w:val="No Spacing"/>
    <w:link w:val="NoSpacingChar"/>
    <w:uiPriority w:val="1"/>
    <w:qFormat/>
    <w:rsid w:val="000D15AB"/>
    <w:pPr>
      <w:spacing w:after="0" w:line="240" w:lineRule="auto"/>
    </w:pPr>
  </w:style>
  <w:style w:type="paragraph" w:styleId="ListParagraph">
    <w:name w:val="List Paragraph"/>
    <w:basedOn w:val="Normal"/>
    <w:uiPriority w:val="34"/>
    <w:qFormat/>
    <w:rsid w:val="000D15AB"/>
    <w:pPr>
      <w:ind w:left="720"/>
      <w:contextualSpacing/>
    </w:pPr>
  </w:style>
  <w:style w:type="character" w:customStyle="1" w:styleId="NoSpacingChar">
    <w:name w:val="No Spacing Char"/>
    <w:basedOn w:val="DefaultParagraphFont"/>
    <w:link w:val="NoSpacing"/>
    <w:uiPriority w:val="1"/>
    <w:rsid w:val="000D15AB"/>
  </w:style>
  <w:style w:type="paragraph" w:styleId="BalloonText">
    <w:name w:val="Balloon Text"/>
    <w:basedOn w:val="Normal"/>
    <w:link w:val="BalloonTextChar"/>
    <w:uiPriority w:val="99"/>
    <w:semiHidden/>
    <w:unhideWhenUsed/>
    <w:rsid w:val="000D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AB"/>
    <w:rPr>
      <w:rFonts w:ascii="Tahoma" w:hAnsi="Tahoma" w:cs="Tahoma"/>
      <w:sz w:val="16"/>
      <w:szCs w:val="16"/>
    </w:rPr>
  </w:style>
  <w:style w:type="paragraph" w:styleId="Header">
    <w:name w:val="header"/>
    <w:basedOn w:val="Normal"/>
    <w:link w:val="HeaderChar"/>
    <w:uiPriority w:val="99"/>
    <w:unhideWhenUsed/>
    <w:rsid w:val="000D1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5AB"/>
  </w:style>
  <w:style w:type="paragraph" w:styleId="Footer">
    <w:name w:val="footer"/>
    <w:basedOn w:val="Normal"/>
    <w:link w:val="FooterChar"/>
    <w:uiPriority w:val="99"/>
    <w:unhideWhenUsed/>
    <w:rsid w:val="000D1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5AB"/>
  </w:style>
  <w:style w:type="paragraph" w:customStyle="1" w:styleId="example">
    <w:name w:val="example"/>
    <w:basedOn w:val="Normal"/>
    <w:link w:val="exampleChar"/>
    <w:autoRedefine/>
    <w:rsid w:val="000A1293"/>
    <w:pPr>
      <w:tabs>
        <w:tab w:val="left" w:pos="1260"/>
      </w:tabs>
      <w:spacing w:after="0" w:line="240" w:lineRule="auto"/>
    </w:pPr>
    <w:rPr>
      <w:rFonts w:ascii="Times New Roman" w:eastAsia="Times New Roman" w:hAnsi="Times New Roman" w:cs="Times New Roman"/>
      <w:sz w:val="24"/>
      <w:shd w:val="clear" w:color="auto" w:fill="FFFFFF"/>
    </w:rPr>
  </w:style>
  <w:style w:type="character" w:customStyle="1" w:styleId="exampleChar">
    <w:name w:val="example Char"/>
    <w:basedOn w:val="DefaultParagraphFont"/>
    <w:link w:val="example"/>
    <w:rsid w:val="000A1293"/>
    <w:rPr>
      <w:rFonts w:ascii="Times New Roman" w:eastAsia="Times New Roman" w:hAnsi="Times New Roman" w:cs="Times New Roman"/>
      <w:sz w:val="24"/>
    </w:rPr>
  </w:style>
  <w:style w:type="paragraph" w:customStyle="1" w:styleId="standard">
    <w:name w:val="standard"/>
    <w:basedOn w:val="Normal"/>
    <w:link w:val="standardChar"/>
    <w:autoRedefine/>
    <w:rsid w:val="000A1293"/>
    <w:pPr>
      <w:tabs>
        <w:tab w:val="left" w:pos="540"/>
      </w:tabs>
      <w:spacing w:after="0" w:line="240" w:lineRule="auto"/>
    </w:pPr>
    <w:rPr>
      <w:rFonts w:asciiTheme="majorHAnsi" w:eastAsia="Times New Roman" w:hAnsiTheme="majorHAnsi" w:cs="Times New Roman"/>
      <w:sz w:val="24"/>
      <w:szCs w:val="24"/>
    </w:rPr>
  </w:style>
  <w:style w:type="character" w:customStyle="1" w:styleId="standardChar">
    <w:name w:val="standard Char"/>
    <w:basedOn w:val="DefaultParagraphFont"/>
    <w:link w:val="standard"/>
    <w:rsid w:val="000A1293"/>
    <w:rPr>
      <w:rFonts w:asciiTheme="majorHAnsi" w:eastAsia="Times New Roman" w:hAnsiTheme="majorHAnsi" w:cs="Times New Roman"/>
      <w:sz w:val="24"/>
      <w:szCs w:val="24"/>
    </w:rPr>
  </w:style>
  <w:style w:type="paragraph" w:customStyle="1" w:styleId="SectionHeaders">
    <w:name w:val="Section Headers"/>
    <w:basedOn w:val="Normal"/>
    <w:rsid w:val="000A1293"/>
    <w:pPr>
      <w:spacing w:before="240" w:after="240" w:line="240" w:lineRule="auto"/>
    </w:pPr>
    <w:rPr>
      <w:rFonts w:ascii="Times New Roman" w:eastAsia="Times New Roman" w:hAnsi="Times New Roman" w:cs="Times New Roman"/>
      <w:b/>
      <w:sz w:val="24"/>
      <w:szCs w:val="20"/>
    </w:rPr>
  </w:style>
  <w:style w:type="character" w:customStyle="1" w:styleId="apple-converted-space">
    <w:name w:val="apple-converted-space"/>
    <w:basedOn w:val="DefaultParagraphFont"/>
    <w:rsid w:val="000A1293"/>
  </w:style>
  <w:style w:type="character" w:styleId="Strong">
    <w:name w:val="Strong"/>
    <w:basedOn w:val="DefaultParagraphFont"/>
    <w:uiPriority w:val="22"/>
    <w:qFormat/>
    <w:rsid w:val="000A1293"/>
    <w:rPr>
      <w:b/>
      <w:bCs/>
    </w:rPr>
  </w:style>
  <w:style w:type="paragraph" w:styleId="FootnoteText">
    <w:name w:val="footnote text"/>
    <w:basedOn w:val="Normal"/>
    <w:link w:val="FootnoteTextChar"/>
    <w:uiPriority w:val="99"/>
    <w:semiHidden/>
    <w:unhideWhenUsed/>
    <w:rsid w:val="000A12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293"/>
    <w:rPr>
      <w:sz w:val="20"/>
      <w:szCs w:val="20"/>
    </w:rPr>
  </w:style>
  <w:style w:type="character" w:styleId="FootnoteReference">
    <w:name w:val="footnote reference"/>
    <w:basedOn w:val="DefaultParagraphFont"/>
    <w:uiPriority w:val="99"/>
    <w:semiHidden/>
    <w:unhideWhenUsed/>
    <w:rsid w:val="000A12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3A632A-5896-4FF6-8F47-CC1FC3D38C78}" type="doc">
      <dgm:prSet loTypeId="urn:microsoft.com/office/officeart/2005/8/layout/radial6" loCatId="cycle" qsTypeId="urn:microsoft.com/office/officeart/2005/8/quickstyle/simple1" qsCatId="simple" csTypeId="urn:microsoft.com/office/officeart/2005/8/colors/colorful2" csCatId="colorful" phldr="1"/>
      <dgm:spPr/>
      <dgm:t>
        <a:bodyPr/>
        <a:lstStyle/>
        <a:p>
          <a:endParaRPr lang="en-US"/>
        </a:p>
      </dgm:t>
    </dgm:pt>
    <dgm:pt modelId="{F1934DA2-EB4E-41A5-B8D1-44B9BBC664BF}">
      <dgm:prSet phldrT="[Text]"/>
      <dgm:spPr>
        <a:blipFill rotWithShape="0">
          <a:blip xmlns:r="http://schemas.openxmlformats.org/officeDocument/2006/relationships" r:embed="rId1"/>
          <a:stretch>
            <a:fillRect/>
          </a:stretch>
        </a:blipFill>
      </dgm:spPr>
      <dgm:t>
        <a:bodyPr/>
        <a:lstStyle/>
        <a:p>
          <a:pPr algn="r"/>
          <a:endParaRPr lang="en-US" dirty="0" smtClean="0"/>
        </a:p>
      </dgm:t>
    </dgm:pt>
    <dgm:pt modelId="{0F90293B-A921-4917-81D2-1F3C27C43C4A}" type="parTrans" cxnId="{86A72091-1A7A-4C50-892E-1FD7E07FD478}">
      <dgm:prSet/>
      <dgm:spPr/>
      <dgm:t>
        <a:bodyPr/>
        <a:lstStyle/>
        <a:p>
          <a:pPr algn="r"/>
          <a:endParaRPr lang="en-US"/>
        </a:p>
      </dgm:t>
    </dgm:pt>
    <dgm:pt modelId="{13D7FCD5-E8AF-4B1B-A6AD-2DD91EBC6D9D}" type="sibTrans" cxnId="{86A72091-1A7A-4C50-892E-1FD7E07FD478}">
      <dgm:prSet/>
      <dgm:spPr/>
      <dgm:t>
        <a:bodyPr/>
        <a:lstStyle/>
        <a:p>
          <a:pPr algn="r"/>
          <a:endParaRPr lang="en-US"/>
        </a:p>
      </dgm:t>
    </dgm:pt>
    <dgm:pt modelId="{5C48B0C9-5ABE-48EC-9FBA-EA96ED2D44DB}">
      <dgm:prSet phldrT="[Text]" custT="1"/>
      <dgm:spPr/>
      <dgm:t>
        <a:bodyPr/>
        <a:lstStyle/>
        <a:p>
          <a:pPr algn="r"/>
          <a:endParaRPr lang="en-US" sz="1300" b="1" dirty="0"/>
        </a:p>
      </dgm:t>
    </dgm:pt>
    <dgm:pt modelId="{B464B2F0-07D3-46F3-B04D-91DE9860CA9D}" type="parTrans" cxnId="{53A3EF27-DC7A-4BDD-89E9-18972E0DF214}">
      <dgm:prSet/>
      <dgm:spPr/>
      <dgm:t>
        <a:bodyPr/>
        <a:lstStyle/>
        <a:p>
          <a:pPr algn="r"/>
          <a:endParaRPr lang="en-US"/>
        </a:p>
      </dgm:t>
    </dgm:pt>
    <dgm:pt modelId="{1AE5608E-C352-4A1B-AF01-B1EF42B5FC1B}" type="sibTrans" cxnId="{53A3EF27-DC7A-4BDD-89E9-18972E0DF214}">
      <dgm:prSet/>
      <dgm:spPr/>
      <dgm:t>
        <a:bodyPr/>
        <a:lstStyle/>
        <a:p>
          <a:pPr algn="r"/>
          <a:endParaRPr lang="en-US" dirty="0"/>
        </a:p>
      </dgm:t>
    </dgm:pt>
    <dgm:pt modelId="{B4741EDD-5BB5-477A-B874-6ABDAEA14B3C}">
      <dgm:prSet phldrT="[Text]"/>
      <dgm:spPr/>
      <dgm:t>
        <a:bodyPr/>
        <a:lstStyle/>
        <a:p>
          <a:pPr algn="r"/>
          <a:endParaRPr lang="en-US" dirty="0"/>
        </a:p>
      </dgm:t>
    </dgm:pt>
    <dgm:pt modelId="{25B609F5-B5DC-4315-8A49-8EAA26A14E00}" type="parTrans" cxnId="{122EC996-D952-4B27-A66D-6CDE3D49D98D}">
      <dgm:prSet/>
      <dgm:spPr/>
      <dgm:t>
        <a:bodyPr/>
        <a:lstStyle/>
        <a:p>
          <a:pPr algn="r"/>
          <a:endParaRPr lang="en-US"/>
        </a:p>
      </dgm:t>
    </dgm:pt>
    <dgm:pt modelId="{6221B060-28BC-4086-93A0-21A278E8A1CE}" type="sibTrans" cxnId="{122EC996-D952-4B27-A66D-6CDE3D49D98D}">
      <dgm:prSet/>
      <dgm:spPr/>
      <dgm:t>
        <a:bodyPr/>
        <a:lstStyle/>
        <a:p>
          <a:pPr algn="r"/>
          <a:endParaRPr lang="en-US"/>
        </a:p>
      </dgm:t>
    </dgm:pt>
    <dgm:pt modelId="{1578E5A1-F7A5-491E-806E-DD3695304806}">
      <dgm:prSet phldrT="[Text]" custT="1"/>
      <dgm:spPr/>
      <dgm:t>
        <a:bodyPr/>
        <a:lstStyle/>
        <a:p>
          <a:pPr algn="r"/>
          <a:endParaRPr lang="en-US" sz="1100" b="1" dirty="0"/>
        </a:p>
      </dgm:t>
    </dgm:pt>
    <dgm:pt modelId="{4B7FD510-7DEE-4BA8-A1D7-024E598A5116}" type="parTrans" cxnId="{081D730C-1773-4549-9F79-2D222BC76EDB}">
      <dgm:prSet/>
      <dgm:spPr/>
      <dgm:t>
        <a:bodyPr/>
        <a:lstStyle/>
        <a:p>
          <a:pPr algn="r"/>
          <a:endParaRPr lang="en-US"/>
        </a:p>
      </dgm:t>
    </dgm:pt>
    <dgm:pt modelId="{2443AB23-7C3B-481A-8C89-DCD523500F3F}" type="sibTrans" cxnId="{081D730C-1773-4549-9F79-2D222BC76EDB}">
      <dgm:prSet/>
      <dgm:spPr/>
      <dgm:t>
        <a:bodyPr/>
        <a:lstStyle/>
        <a:p>
          <a:pPr algn="r"/>
          <a:endParaRPr lang="en-US" dirty="0"/>
        </a:p>
      </dgm:t>
    </dgm:pt>
    <dgm:pt modelId="{FB28DD01-195E-47E7-9384-87F238963A0F}">
      <dgm:prSet phldrT="[Text]" custT="1"/>
      <dgm:spPr/>
      <dgm:t>
        <a:bodyPr/>
        <a:lstStyle/>
        <a:p>
          <a:pPr algn="r"/>
          <a:endParaRPr lang="en-US" sz="1300" b="1" dirty="0"/>
        </a:p>
      </dgm:t>
    </dgm:pt>
    <dgm:pt modelId="{FF945DC7-E0F3-427A-AE98-C13C00982EAA}" type="sibTrans" cxnId="{A1B85801-3D91-4314-97BE-31BDE44D2BD5}">
      <dgm:prSet/>
      <dgm:spPr/>
      <dgm:t>
        <a:bodyPr/>
        <a:lstStyle/>
        <a:p>
          <a:pPr algn="r"/>
          <a:endParaRPr lang="en-US" dirty="0"/>
        </a:p>
      </dgm:t>
    </dgm:pt>
    <dgm:pt modelId="{50279703-D323-45BB-8DA3-A3C26C95B01D}" type="parTrans" cxnId="{A1B85801-3D91-4314-97BE-31BDE44D2BD5}">
      <dgm:prSet/>
      <dgm:spPr/>
      <dgm:t>
        <a:bodyPr/>
        <a:lstStyle/>
        <a:p>
          <a:pPr algn="r"/>
          <a:endParaRPr lang="en-US"/>
        </a:p>
      </dgm:t>
    </dgm:pt>
    <dgm:pt modelId="{38EF0A0E-4BC3-4C0C-99BE-E0CF3ACA8275}">
      <dgm:prSet phldrT="[Text]" custT="1"/>
      <dgm:spPr/>
      <dgm:t>
        <a:bodyPr/>
        <a:lstStyle/>
        <a:p>
          <a:pPr algn="r"/>
          <a:endParaRPr lang="en-US" sz="1400" b="1" dirty="0"/>
        </a:p>
      </dgm:t>
    </dgm:pt>
    <dgm:pt modelId="{3F06BE3D-5EB0-4F87-A5FA-E1A161BF98F7}" type="parTrans" cxnId="{7CC76AA0-3FA9-4228-957A-BAB67ADB79EE}">
      <dgm:prSet/>
      <dgm:spPr/>
      <dgm:t>
        <a:bodyPr/>
        <a:lstStyle/>
        <a:p>
          <a:pPr algn="r"/>
          <a:endParaRPr lang="en-US"/>
        </a:p>
      </dgm:t>
    </dgm:pt>
    <dgm:pt modelId="{937D9ED5-EFB0-4C2C-B03E-934BB4C8B148}" type="sibTrans" cxnId="{7CC76AA0-3FA9-4228-957A-BAB67ADB79EE}">
      <dgm:prSet/>
      <dgm:spPr/>
      <dgm:t>
        <a:bodyPr/>
        <a:lstStyle/>
        <a:p>
          <a:pPr algn="r"/>
          <a:endParaRPr lang="en-US" dirty="0"/>
        </a:p>
      </dgm:t>
    </dgm:pt>
    <dgm:pt modelId="{273D08FD-C56C-4647-9322-34D6BB71AAF1}">
      <dgm:prSet phldrT="[Text]" custT="1"/>
      <dgm:spPr/>
      <dgm:t>
        <a:bodyPr/>
        <a:lstStyle/>
        <a:p>
          <a:pPr algn="r"/>
          <a:endParaRPr lang="en-US" sz="1300" b="1" dirty="0"/>
        </a:p>
      </dgm:t>
    </dgm:pt>
    <dgm:pt modelId="{6466BFC3-B4BA-4BD6-9701-674A39C4FE85}" type="parTrans" cxnId="{B8E17346-94FD-4C2D-A05D-DFFE9058654A}">
      <dgm:prSet/>
      <dgm:spPr/>
      <dgm:t>
        <a:bodyPr/>
        <a:lstStyle/>
        <a:p>
          <a:pPr algn="r"/>
          <a:endParaRPr lang="en-US"/>
        </a:p>
      </dgm:t>
    </dgm:pt>
    <dgm:pt modelId="{4A5FF929-3DB7-4C02-900D-B661F1FE152D}" type="sibTrans" cxnId="{B8E17346-94FD-4C2D-A05D-DFFE9058654A}">
      <dgm:prSet/>
      <dgm:spPr/>
      <dgm:t>
        <a:bodyPr/>
        <a:lstStyle/>
        <a:p>
          <a:pPr algn="r"/>
          <a:endParaRPr lang="en-US" dirty="0"/>
        </a:p>
      </dgm:t>
    </dgm:pt>
    <dgm:pt modelId="{628A3A68-7BC1-442E-B3E9-B0D1899D546B}" type="pres">
      <dgm:prSet presAssocID="{943A632A-5896-4FF6-8F47-CC1FC3D38C78}" presName="Name0" presStyleCnt="0">
        <dgm:presLayoutVars>
          <dgm:chMax val="1"/>
          <dgm:dir/>
          <dgm:animLvl val="ctr"/>
          <dgm:resizeHandles val="exact"/>
        </dgm:presLayoutVars>
      </dgm:prSet>
      <dgm:spPr/>
      <dgm:t>
        <a:bodyPr/>
        <a:lstStyle/>
        <a:p>
          <a:endParaRPr lang="en-US"/>
        </a:p>
      </dgm:t>
    </dgm:pt>
    <dgm:pt modelId="{9EBF94F9-B057-4302-9582-61635E39F9C7}" type="pres">
      <dgm:prSet presAssocID="{F1934DA2-EB4E-41A5-B8D1-44B9BBC664BF}" presName="centerShape" presStyleLbl="node0" presStyleIdx="0" presStyleCnt="1" custLinFactNeighborX="1276" custLinFactNeighborY="-425"/>
      <dgm:spPr/>
      <dgm:t>
        <a:bodyPr/>
        <a:lstStyle/>
        <a:p>
          <a:endParaRPr lang="en-US"/>
        </a:p>
      </dgm:t>
    </dgm:pt>
    <dgm:pt modelId="{0F1FFD98-D269-4663-8ACD-3F3EB53E583B}" type="pres">
      <dgm:prSet presAssocID="{5C48B0C9-5ABE-48EC-9FBA-EA96ED2D44DB}" presName="node" presStyleLbl="node1" presStyleIdx="0" presStyleCnt="5" custScaleX="114330" custScaleY="112679" custRadScaleRad="87149" custRadScaleInc="-3915">
        <dgm:presLayoutVars>
          <dgm:bulletEnabled val="1"/>
        </dgm:presLayoutVars>
      </dgm:prSet>
      <dgm:spPr/>
      <dgm:t>
        <a:bodyPr/>
        <a:lstStyle/>
        <a:p>
          <a:endParaRPr lang="en-US"/>
        </a:p>
      </dgm:t>
    </dgm:pt>
    <dgm:pt modelId="{0E726260-B031-4630-A3FD-C934DDB61AC8}" type="pres">
      <dgm:prSet presAssocID="{5C48B0C9-5ABE-48EC-9FBA-EA96ED2D44DB}" presName="dummy" presStyleCnt="0"/>
      <dgm:spPr/>
    </dgm:pt>
    <dgm:pt modelId="{086322B7-1554-4809-8D09-6407BAF81F01}" type="pres">
      <dgm:prSet presAssocID="{1AE5608E-C352-4A1B-AF01-B1EF42B5FC1B}" presName="sibTrans" presStyleLbl="sibTrans2D1" presStyleIdx="0" presStyleCnt="5"/>
      <dgm:spPr/>
      <dgm:t>
        <a:bodyPr/>
        <a:lstStyle/>
        <a:p>
          <a:endParaRPr lang="en-US"/>
        </a:p>
      </dgm:t>
    </dgm:pt>
    <dgm:pt modelId="{8F53D7C8-1066-4846-9B9F-7B86C3F49E86}" type="pres">
      <dgm:prSet presAssocID="{FB28DD01-195E-47E7-9384-87F238963A0F}" presName="node" presStyleLbl="node1" presStyleIdx="1" presStyleCnt="5" custScaleX="111646" custScaleY="106208" custRadScaleRad="87184" custRadScaleInc="11825">
        <dgm:presLayoutVars>
          <dgm:bulletEnabled val="1"/>
        </dgm:presLayoutVars>
      </dgm:prSet>
      <dgm:spPr/>
      <dgm:t>
        <a:bodyPr/>
        <a:lstStyle/>
        <a:p>
          <a:endParaRPr lang="en-US"/>
        </a:p>
      </dgm:t>
    </dgm:pt>
    <dgm:pt modelId="{C60B3690-891E-41BB-852B-1859E12B7770}" type="pres">
      <dgm:prSet presAssocID="{FB28DD01-195E-47E7-9384-87F238963A0F}" presName="dummy" presStyleCnt="0"/>
      <dgm:spPr/>
    </dgm:pt>
    <dgm:pt modelId="{80DC37EB-F264-4A64-8675-2C8D2D1D8576}" type="pres">
      <dgm:prSet presAssocID="{FF945DC7-E0F3-427A-AE98-C13C00982EAA}" presName="sibTrans" presStyleLbl="sibTrans2D1" presStyleIdx="1" presStyleCnt="5"/>
      <dgm:spPr/>
      <dgm:t>
        <a:bodyPr/>
        <a:lstStyle/>
        <a:p>
          <a:endParaRPr lang="en-US"/>
        </a:p>
      </dgm:t>
    </dgm:pt>
    <dgm:pt modelId="{1A7A4728-106A-4208-8838-EE5AD913CCD2}" type="pres">
      <dgm:prSet presAssocID="{273D08FD-C56C-4647-9322-34D6BB71AAF1}" presName="node" presStyleLbl="node1" presStyleIdx="2" presStyleCnt="5" custScaleX="114658" custScaleY="112100" custRadScaleRad="87148" custRadScaleInc="-10256">
        <dgm:presLayoutVars>
          <dgm:bulletEnabled val="1"/>
        </dgm:presLayoutVars>
      </dgm:prSet>
      <dgm:spPr/>
      <dgm:t>
        <a:bodyPr/>
        <a:lstStyle/>
        <a:p>
          <a:endParaRPr lang="en-US"/>
        </a:p>
      </dgm:t>
    </dgm:pt>
    <dgm:pt modelId="{FA9CAB1A-BEA3-4C29-9AC8-EC63E6F4ACD3}" type="pres">
      <dgm:prSet presAssocID="{273D08FD-C56C-4647-9322-34D6BB71AAF1}" presName="dummy" presStyleCnt="0"/>
      <dgm:spPr/>
    </dgm:pt>
    <dgm:pt modelId="{F8D44C42-1716-443B-BA94-1E599ACC57EE}" type="pres">
      <dgm:prSet presAssocID="{4A5FF929-3DB7-4C02-900D-B661F1FE152D}" presName="sibTrans" presStyleLbl="sibTrans2D1" presStyleIdx="2" presStyleCnt="5"/>
      <dgm:spPr/>
      <dgm:t>
        <a:bodyPr/>
        <a:lstStyle/>
        <a:p>
          <a:endParaRPr lang="en-US"/>
        </a:p>
      </dgm:t>
    </dgm:pt>
    <dgm:pt modelId="{67B296BE-D78C-4CD1-AF92-C0CA4F46EC38}" type="pres">
      <dgm:prSet presAssocID="{1578E5A1-F7A5-491E-806E-DD3695304806}" presName="node" presStyleLbl="node1" presStyleIdx="3" presStyleCnt="5" custScaleX="114792" custScaleY="108615" custRadScaleRad="83610" custRadScaleInc="7181">
        <dgm:presLayoutVars>
          <dgm:bulletEnabled val="1"/>
        </dgm:presLayoutVars>
      </dgm:prSet>
      <dgm:spPr/>
      <dgm:t>
        <a:bodyPr/>
        <a:lstStyle/>
        <a:p>
          <a:endParaRPr lang="en-US"/>
        </a:p>
      </dgm:t>
    </dgm:pt>
    <dgm:pt modelId="{360D5180-2C70-4D23-A280-A5C0F3F58CB3}" type="pres">
      <dgm:prSet presAssocID="{1578E5A1-F7A5-491E-806E-DD3695304806}" presName="dummy" presStyleCnt="0"/>
      <dgm:spPr/>
    </dgm:pt>
    <dgm:pt modelId="{667FCB4B-27CA-4892-AC36-64E940440084}" type="pres">
      <dgm:prSet presAssocID="{2443AB23-7C3B-481A-8C89-DCD523500F3F}" presName="sibTrans" presStyleLbl="sibTrans2D1" presStyleIdx="3" presStyleCnt="5"/>
      <dgm:spPr/>
      <dgm:t>
        <a:bodyPr/>
        <a:lstStyle/>
        <a:p>
          <a:endParaRPr lang="en-US"/>
        </a:p>
      </dgm:t>
    </dgm:pt>
    <dgm:pt modelId="{43699960-BB39-406A-ACE2-5D59E846A7CA}" type="pres">
      <dgm:prSet presAssocID="{38EF0A0E-4BC3-4C0C-99BE-E0CF3ACA8275}" presName="node" presStyleLbl="node1" presStyleIdx="4" presStyleCnt="5" custScaleX="111854" custScaleY="109360" custRadScaleRad="84101" custRadScaleInc="-8044">
        <dgm:presLayoutVars>
          <dgm:bulletEnabled val="1"/>
        </dgm:presLayoutVars>
      </dgm:prSet>
      <dgm:spPr/>
      <dgm:t>
        <a:bodyPr/>
        <a:lstStyle/>
        <a:p>
          <a:endParaRPr lang="en-US"/>
        </a:p>
      </dgm:t>
    </dgm:pt>
    <dgm:pt modelId="{64C784D5-87F9-4057-B902-2ABD549E322E}" type="pres">
      <dgm:prSet presAssocID="{38EF0A0E-4BC3-4C0C-99BE-E0CF3ACA8275}" presName="dummy" presStyleCnt="0"/>
      <dgm:spPr/>
    </dgm:pt>
    <dgm:pt modelId="{3E2665D3-A1D5-481B-940E-B3EFED1256A1}" type="pres">
      <dgm:prSet presAssocID="{937D9ED5-EFB0-4C2C-B03E-934BB4C8B148}" presName="sibTrans" presStyleLbl="sibTrans2D1" presStyleIdx="4" presStyleCnt="5"/>
      <dgm:spPr/>
      <dgm:t>
        <a:bodyPr/>
        <a:lstStyle/>
        <a:p>
          <a:endParaRPr lang="en-US"/>
        </a:p>
      </dgm:t>
    </dgm:pt>
  </dgm:ptLst>
  <dgm:cxnLst>
    <dgm:cxn modelId="{71512662-51E4-4641-8775-5B0D0AAFFBA8}" type="presOf" srcId="{4A5FF929-3DB7-4C02-900D-B661F1FE152D}" destId="{F8D44C42-1716-443B-BA94-1E599ACC57EE}" srcOrd="0" destOrd="0" presId="urn:microsoft.com/office/officeart/2005/8/layout/radial6"/>
    <dgm:cxn modelId="{122EC996-D952-4B27-A66D-6CDE3D49D98D}" srcId="{943A632A-5896-4FF6-8F47-CC1FC3D38C78}" destId="{B4741EDD-5BB5-477A-B874-6ABDAEA14B3C}" srcOrd="1" destOrd="0" parTransId="{25B609F5-B5DC-4315-8A49-8EAA26A14E00}" sibTransId="{6221B060-28BC-4086-93A0-21A278E8A1CE}"/>
    <dgm:cxn modelId="{A1B85801-3D91-4314-97BE-31BDE44D2BD5}" srcId="{F1934DA2-EB4E-41A5-B8D1-44B9BBC664BF}" destId="{FB28DD01-195E-47E7-9384-87F238963A0F}" srcOrd="1" destOrd="0" parTransId="{50279703-D323-45BB-8DA3-A3C26C95B01D}" sibTransId="{FF945DC7-E0F3-427A-AE98-C13C00982EAA}"/>
    <dgm:cxn modelId="{6EBF71D9-F5B8-47F2-AA95-B401F0D78E19}" type="presOf" srcId="{F1934DA2-EB4E-41A5-B8D1-44B9BBC664BF}" destId="{9EBF94F9-B057-4302-9582-61635E39F9C7}" srcOrd="0" destOrd="0" presId="urn:microsoft.com/office/officeart/2005/8/layout/radial6"/>
    <dgm:cxn modelId="{081D730C-1773-4549-9F79-2D222BC76EDB}" srcId="{F1934DA2-EB4E-41A5-B8D1-44B9BBC664BF}" destId="{1578E5A1-F7A5-491E-806E-DD3695304806}" srcOrd="3" destOrd="0" parTransId="{4B7FD510-7DEE-4BA8-A1D7-024E598A5116}" sibTransId="{2443AB23-7C3B-481A-8C89-DCD523500F3F}"/>
    <dgm:cxn modelId="{4ECE6865-4C4C-473E-AE46-FC8F145F2B82}" type="presOf" srcId="{937D9ED5-EFB0-4C2C-B03E-934BB4C8B148}" destId="{3E2665D3-A1D5-481B-940E-B3EFED1256A1}" srcOrd="0" destOrd="0" presId="urn:microsoft.com/office/officeart/2005/8/layout/radial6"/>
    <dgm:cxn modelId="{51DBA519-D957-4D41-85BF-717097D6C18E}" type="presOf" srcId="{2443AB23-7C3B-481A-8C89-DCD523500F3F}" destId="{667FCB4B-27CA-4892-AC36-64E940440084}" srcOrd="0" destOrd="0" presId="urn:microsoft.com/office/officeart/2005/8/layout/radial6"/>
    <dgm:cxn modelId="{7CC76AA0-3FA9-4228-957A-BAB67ADB79EE}" srcId="{F1934DA2-EB4E-41A5-B8D1-44B9BBC664BF}" destId="{38EF0A0E-4BC3-4C0C-99BE-E0CF3ACA8275}" srcOrd="4" destOrd="0" parTransId="{3F06BE3D-5EB0-4F87-A5FA-E1A161BF98F7}" sibTransId="{937D9ED5-EFB0-4C2C-B03E-934BB4C8B148}"/>
    <dgm:cxn modelId="{2741C8A2-ECE9-4F26-9256-B0B56623A8BB}" type="presOf" srcId="{1AE5608E-C352-4A1B-AF01-B1EF42B5FC1B}" destId="{086322B7-1554-4809-8D09-6407BAF81F01}" srcOrd="0" destOrd="0" presId="urn:microsoft.com/office/officeart/2005/8/layout/radial6"/>
    <dgm:cxn modelId="{DEB2DD93-63DD-455C-80FC-E9DF57A16456}" type="presOf" srcId="{1578E5A1-F7A5-491E-806E-DD3695304806}" destId="{67B296BE-D78C-4CD1-AF92-C0CA4F46EC38}" srcOrd="0" destOrd="0" presId="urn:microsoft.com/office/officeart/2005/8/layout/radial6"/>
    <dgm:cxn modelId="{EF44D46A-F9A8-461A-96DD-24CB00DC686D}" type="presOf" srcId="{943A632A-5896-4FF6-8F47-CC1FC3D38C78}" destId="{628A3A68-7BC1-442E-B3E9-B0D1899D546B}" srcOrd="0" destOrd="0" presId="urn:microsoft.com/office/officeart/2005/8/layout/radial6"/>
    <dgm:cxn modelId="{86A72091-1A7A-4C50-892E-1FD7E07FD478}" srcId="{943A632A-5896-4FF6-8F47-CC1FC3D38C78}" destId="{F1934DA2-EB4E-41A5-B8D1-44B9BBC664BF}" srcOrd="0" destOrd="0" parTransId="{0F90293B-A921-4917-81D2-1F3C27C43C4A}" sibTransId="{13D7FCD5-E8AF-4B1B-A6AD-2DD91EBC6D9D}"/>
    <dgm:cxn modelId="{93C8FD2B-C0EC-4132-AA2D-F07227C0FD36}" type="presOf" srcId="{273D08FD-C56C-4647-9322-34D6BB71AAF1}" destId="{1A7A4728-106A-4208-8838-EE5AD913CCD2}" srcOrd="0" destOrd="0" presId="urn:microsoft.com/office/officeart/2005/8/layout/radial6"/>
    <dgm:cxn modelId="{53A3EF27-DC7A-4BDD-89E9-18972E0DF214}" srcId="{F1934DA2-EB4E-41A5-B8D1-44B9BBC664BF}" destId="{5C48B0C9-5ABE-48EC-9FBA-EA96ED2D44DB}" srcOrd="0" destOrd="0" parTransId="{B464B2F0-07D3-46F3-B04D-91DE9860CA9D}" sibTransId="{1AE5608E-C352-4A1B-AF01-B1EF42B5FC1B}"/>
    <dgm:cxn modelId="{21FE8CEE-C932-48E2-95C2-F430451F4261}" type="presOf" srcId="{38EF0A0E-4BC3-4C0C-99BE-E0CF3ACA8275}" destId="{43699960-BB39-406A-ACE2-5D59E846A7CA}" srcOrd="0" destOrd="0" presId="urn:microsoft.com/office/officeart/2005/8/layout/radial6"/>
    <dgm:cxn modelId="{E74EEBBC-26A7-4604-9559-102468663E2F}" type="presOf" srcId="{5C48B0C9-5ABE-48EC-9FBA-EA96ED2D44DB}" destId="{0F1FFD98-D269-4663-8ACD-3F3EB53E583B}" srcOrd="0" destOrd="0" presId="urn:microsoft.com/office/officeart/2005/8/layout/radial6"/>
    <dgm:cxn modelId="{2E3BC3FE-40A3-4C26-A105-4F21B18CE93B}" type="presOf" srcId="{FF945DC7-E0F3-427A-AE98-C13C00982EAA}" destId="{80DC37EB-F264-4A64-8675-2C8D2D1D8576}" srcOrd="0" destOrd="0" presId="urn:microsoft.com/office/officeart/2005/8/layout/radial6"/>
    <dgm:cxn modelId="{2ABEA41B-58F2-4E77-87BD-09801930AE37}" type="presOf" srcId="{FB28DD01-195E-47E7-9384-87F238963A0F}" destId="{8F53D7C8-1066-4846-9B9F-7B86C3F49E86}" srcOrd="0" destOrd="0" presId="urn:microsoft.com/office/officeart/2005/8/layout/radial6"/>
    <dgm:cxn modelId="{B8E17346-94FD-4C2D-A05D-DFFE9058654A}" srcId="{F1934DA2-EB4E-41A5-B8D1-44B9BBC664BF}" destId="{273D08FD-C56C-4647-9322-34D6BB71AAF1}" srcOrd="2" destOrd="0" parTransId="{6466BFC3-B4BA-4BD6-9701-674A39C4FE85}" sibTransId="{4A5FF929-3DB7-4C02-900D-B661F1FE152D}"/>
    <dgm:cxn modelId="{82EEE129-1BE9-431D-AC7A-4B6FDFBD06B2}" type="presParOf" srcId="{628A3A68-7BC1-442E-B3E9-B0D1899D546B}" destId="{9EBF94F9-B057-4302-9582-61635E39F9C7}" srcOrd="0" destOrd="0" presId="urn:microsoft.com/office/officeart/2005/8/layout/radial6"/>
    <dgm:cxn modelId="{78AEA9F8-60E3-44A1-93EB-2241697A1EA2}" type="presParOf" srcId="{628A3A68-7BC1-442E-B3E9-B0D1899D546B}" destId="{0F1FFD98-D269-4663-8ACD-3F3EB53E583B}" srcOrd="1" destOrd="0" presId="urn:microsoft.com/office/officeart/2005/8/layout/radial6"/>
    <dgm:cxn modelId="{B6F37C52-1AAC-4437-B74C-8E27C058186E}" type="presParOf" srcId="{628A3A68-7BC1-442E-B3E9-B0D1899D546B}" destId="{0E726260-B031-4630-A3FD-C934DDB61AC8}" srcOrd="2" destOrd="0" presId="urn:microsoft.com/office/officeart/2005/8/layout/radial6"/>
    <dgm:cxn modelId="{908299BA-737C-4AC4-9AD9-BB0A7A63CC2F}" type="presParOf" srcId="{628A3A68-7BC1-442E-B3E9-B0D1899D546B}" destId="{086322B7-1554-4809-8D09-6407BAF81F01}" srcOrd="3" destOrd="0" presId="urn:microsoft.com/office/officeart/2005/8/layout/radial6"/>
    <dgm:cxn modelId="{A81F2337-117F-4BAD-A3EA-9F2ED9561439}" type="presParOf" srcId="{628A3A68-7BC1-442E-B3E9-B0D1899D546B}" destId="{8F53D7C8-1066-4846-9B9F-7B86C3F49E86}" srcOrd="4" destOrd="0" presId="urn:microsoft.com/office/officeart/2005/8/layout/radial6"/>
    <dgm:cxn modelId="{B0F25C1A-E00D-4ADF-81DA-BB0C4D850F34}" type="presParOf" srcId="{628A3A68-7BC1-442E-B3E9-B0D1899D546B}" destId="{C60B3690-891E-41BB-852B-1859E12B7770}" srcOrd="5" destOrd="0" presId="urn:microsoft.com/office/officeart/2005/8/layout/radial6"/>
    <dgm:cxn modelId="{7F9FEE98-1F3F-40C2-AC7B-4E5FD774B1EF}" type="presParOf" srcId="{628A3A68-7BC1-442E-B3E9-B0D1899D546B}" destId="{80DC37EB-F264-4A64-8675-2C8D2D1D8576}" srcOrd="6" destOrd="0" presId="urn:microsoft.com/office/officeart/2005/8/layout/radial6"/>
    <dgm:cxn modelId="{29FA088D-DBDF-4CC3-813D-C1181513960D}" type="presParOf" srcId="{628A3A68-7BC1-442E-B3E9-B0D1899D546B}" destId="{1A7A4728-106A-4208-8838-EE5AD913CCD2}" srcOrd="7" destOrd="0" presId="urn:microsoft.com/office/officeart/2005/8/layout/radial6"/>
    <dgm:cxn modelId="{5557CD9B-2930-49B9-9496-81AA84849A8B}" type="presParOf" srcId="{628A3A68-7BC1-442E-B3E9-B0D1899D546B}" destId="{FA9CAB1A-BEA3-4C29-9AC8-EC63E6F4ACD3}" srcOrd="8" destOrd="0" presId="urn:microsoft.com/office/officeart/2005/8/layout/radial6"/>
    <dgm:cxn modelId="{AEFCE95E-996A-4764-9EF9-D8A97B1D00C7}" type="presParOf" srcId="{628A3A68-7BC1-442E-B3E9-B0D1899D546B}" destId="{F8D44C42-1716-443B-BA94-1E599ACC57EE}" srcOrd="9" destOrd="0" presId="urn:microsoft.com/office/officeart/2005/8/layout/radial6"/>
    <dgm:cxn modelId="{A647D458-8AF9-4043-A66C-2281239C2607}" type="presParOf" srcId="{628A3A68-7BC1-442E-B3E9-B0D1899D546B}" destId="{67B296BE-D78C-4CD1-AF92-C0CA4F46EC38}" srcOrd="10" destOrd="0" presId="urn:microsoft.com/office/officeart/2005/8/layout/radial6"/>
    <dgm:cxn modelId="{D24BB638-AA2D-412A-B764-4EEB49F177A6}" type="presParOf" srcId="{628A3A68-7BC1-442E-B3E9-B0D1899D546B}" destId="{360D5180-2C70-4D23-A280-A5C0F3F58CB3}" srcOrd="11" destOrd="0" presId="urn:microsoft.com/office/officeart/2005/8/layout/radial6"/>
    <dgm:cxn modelId="{6289CBAE-49DB-494F-B3EC-433FB37F6ABE}" type="presParOf" srcId="{628A3A68-7BC1-442E-B3E9-B0D1899D546B}" destId="{667FCB4B-27CA-4892-AC36-64E940440084}" srcOrd="12" destOrd="0" presId="urn:microsoft.com/office/officeart/2005/8/layout/radial6"/>
    <dgm:cxn modelId="{81DA009C-7F0A-48DC-851F-CB55D6F8E04B}" type="presParOf" srcId="{628A3A68-7BC1-442E-B3E9-B0D1899D546B}" destId="{43699960-BB39-406A-ACE2-5D59E846A7CA}" srcOrd="13" destOrd="0" presId="urn:microsoft.com/office/officeart/2005/8/layout/radial6"/>
    <dgm:cxn modelId="{EABDF7B8-53C2-45E9-8248-AE9ECF961E0E}" type="presParOf" srcId="{628A3A68-7BC1-442E-B3E9-B0D1899D546B}" destId="{64C784D5-87F9-4057-B902-2ABD549E322E}" srcOrd="14" destOrd="0" presId="urn:microsoft.com/office/officeart/2005/8/layout/radial6"/>
    <dgm:cxn modelId="{6F9A3491-108F-42B5-BB91-671EED604A23}" type="presParOf" srcId="{628A3A68-7BC1-442E-B3E9-B0D1899D546B}" destId="{3E2665D3-A1D5-481B-940E-B3EFED1256A1}" srcOrd="15" destOrd="0" presId="urn:microsoft.com/office/officeart/2005/8/layout/radial6"/>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2665D3-A1D5-481B-940E-B3EFED1256A1}">
      <dsp:nvSpPr>
        <dsp:cNvPr id="0" name=""/>
        <dsp:cNvSpPr/>
      </dsp:nvSpPr>
      <dsp:spPr>
        <a:xfrm>
          <a:off x="311830" y="141974"/>
          <a:ext cx="677377" cy="677377"/>
        </a:xfrm>
        <a:prstGeom prst="blockArc">
          <a:avLst>
            <a:gd name="adj1" fmla="val 12033736"/>
            <a:gd name="adj2" fmla="val 15708681"/>
            <a:gd name="adj3" fmla="val 4639"/>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7FCB4B-27CA-4892-AC36-64E940440084}">
      <dsp:nvSpPr>
        <dsp:cNvPr id="0" name=""/>
        <dsp:cNvSpPr/>
      </dsp:nvSpPr>
      <dsp:spPr>
        <a:xfrm>
          <a:off x="328129" y="81802"/>
          <a:ext cx="677377" cy="677377"/>
        </a:xfrm>
        <a:prstGeom prst="blockArc">
          <a:avLst>
            <a:gd name="adj1" fmla="val 8012949"/>
            <a:gd name="adj2" fmla="val 11384975"/>
            <a:gd name="adj3" fmla="val 4639"/>
          </a:avLst>
        </a:prstGeom>
        <a:solidFill>
          <a:schemeClr val="accent2">
            <a:hueOff val="3511139"/>
            <a:satOff val="-4379"/>
            <a:lumOff val="103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8D44C42-1716-443B-BA94-1E599ACC57EE}">
      <dsp:nvSpPr>
        <dsp:cNvPr id="0" name=""/>
        <dsp:cNvSpPr/>
      </dsp:nvSpPr>
      <dsp:spPr>
        <a:xfrm>
          <a:off x="280098" y="43943"/>
          <a:ext cx="677377" cy="677377"/>
        </a:xfrm>
        <a:prstGeom prst="blockArc">
          <a:avLst>
            <a:gd name="adj1" fmla="val 3560872"/>
            <a:gd name="adj2" fmla="val 7376536"/>
            <a:gd name="adj3" fmla="val 4639"/>
          </a:avLst>
        </a:prstGeom>
        <a:solidFill>
          <a:schemeClr val="accent2">
            <a:hueOff val="2340759"/>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0DC37EB-F264-4A64-8675-2C8D2D1D8576}">
      <dsp:nvSpPr>
        <dsp:cNvPr id="0" name=""/>
        <dsp:cNvSpPr/>
      </dsp:nvSpPr>
      <dsp:spPr>
        <a:xfrm>
          <a:off x="222460" y="87228"/>
          <a:ext cx="677377" cy="677377"/>
        </a:xfrm>
        <a:prstGeom prst="blockArc">
          <a:avLst>
            <a:gd name="adj1" fmla="val 20974384"/>
            <a:gd name="adj2" fmla="val 2810367"/>
            <a:gd name="adj3" fmla="val 4639"/>
          </a:avLst>
        </a:prstGeom>
        <a:solidFill>
          <a:schemeClr val="accent2">
            <a:hueOff val="1170380"/>
            <a:satOff val="-1460"/>
            <a:lumOff val="34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86322B7-1554-4809-8D09-6407BAF81F01}">
      <dsp:nvSpPr>
        <dsp:cNvPr id="0" name=""/>
        <dsp:cNvSpPr/>
      </dsp:nvSpPr>
      <dsp:spPr>
        <a:xfrm>
          <a:off x="238354" y="144296"/>
          <a:ext cx="677377" cy="677377"/>
        </a:xfrm>
        <a:prstGeom prst="blockArc">
          <a:avLst>
            <a:gd name="adj1" fmla="val 16474143"/>
            <a:gd name="adj2" fmla="val 20357988"/>
            <a:gd name="adj3" fmla="val 463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BF94F9-B057-4302-9582-61635E39F9C7}">
      <dsp:nvSpPr>
        <dsp:cNvPr id="0" name=""/>
        <dsp:cNvSpPr/>
      </dsp:nvSpPr>
      <dsp:spPr>
        <a:xfrm>
          <a:off x="460706" y="282807"/>
          <a:ext cx="311725" cy="311725"/>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r" defTabSz="577850">
            <a:lnSpc>
              <a:spcPct val="90000"/>
            </a:lnSpc>
            <a:spcBef>
              <a:spcPct val="0"/>
            </a:spcBef>
            <a:spcAft>
              <a:spcPct val="35000"/>
            </a:spcAft>
          </a:pPr>
          <a:endParaRPr lang="en-US" sz="1300" kern="1200" dirty="0" smtClean="0"/>
        </a:p>
      </dsp:txBody>
      <dsp:txXfrm>
        <a:off x="506357" y="328458"/>
        <a:ext cx="220423" cy="220423"/>
      </dsp:txXfrm>
    </dsp:sp>
    <dsp:sp modelId="{0F1FFD98-D269-4663-8ACD-3F3EB53E583B}">
      <dsp:nvSpPr>
        <dsp:cNvPr id="0" name=""/>
        <dsp:cNvSpPr/>
      </dsp:nvSpPr>
      <dsp:spPr>
        <a:xfrm>
          <a:off x="478659" y="30266"/>
          <a:ext cx="249476" cy="24587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r" defTabSz="577850">
            <a:lnSpc>
              <a:spcPct val="90000"/>
            </a:lnSpc>
            <a:spcBef>
              <a:spcPct val="0"/>
            </a:spcBef>
            <a:spcAft>
              <a:spcPct val="35000"/>
            </a:spcAft>
          </a:pPr>
          <a:endParaRPr lang="en-US" sz="1300" b="1" kern="1200" dirty="0"/>
        </a:p>
      </dsp:txBody>
      <dsp:txXfrm>
        <a:off x="515194" y="66273"/>
        <a:ext cx="176406" cy="173860"/>
      </dsp:txXfrm>
    </dsp:sp>
    <dsp:sp modelId="{8F53D7C8-1066-4846-9B9F-7B86C3F49E86}">
      <dsp:nvSpPr>
        <dsp:cNvPr id="0" name=""/>
        <dsp:cNvSpPr/>
      </dsp:nvSpPr>
      <dsp:spPr>
        <a:xfrm>
          <a:off x="764709" y="250166"/>
          <a:ext cx="243620" cy="231753"/>
        </a:xfrm>
        <a:prstGeom prst="ellipse">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r" defTabSz="577850">
            <a:lnSpc>
              <a:spcPct val="90000"/>
            </a:lnSpc>
            <a:spcBef>
              <a:spcPct val="0"/>
            </a:spcBef>
            <a:spcAft>
              <a:spcPct val="35000"/>
            </a:spcAft>
          </a:pPr>
          <a:endParaRPr lang="en-US" sz="1300" b="1" kern="1200" dirty="0"/>
        </a:p>
      </dsp:txBody>
      <dsp:txXfrm>
        <a:off x="800386" y="284105"/>
        <a:ext cx="172266" cy="163875"/>
      </dsp:txXfrm>
    </dsp:sp>
    <dsp:sp modelId="{1A7A4728-106A-4208-8838-EE5AD913CCD2}">
      <dsp:nvSpPr>
        <dsp:cNvPr id="0" name=""/>
        <dsp:cNvSpPr/>
      </dsp:nvSpPr>
      <dsp:spPr>
        <a:xfrm>
          <a:off x="662357" y="544935"/>
          <a:ext cx="250192" cy="244610"/>
        </a:xfrm>
        <a:prstGeom prst="ellipse">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r" defTabSz="577850">
            <a:lnSpc>
              <a:spcPct val="90000"/>
            </a:lnSpc>
            <a:spcBef>
              <a:spcPct val="0"/>
            </a:spcBef>
            <a:spcAft>
              <a:spcPct val="35000"/>
            </a:spcAft>
          </a:pPr>
          <a:endParaRPr lang="en-US" sz="1300" b="1" kern="1200" dirty="0"/>
        </a:p>
      </dsp:txBody>
      <dsp:txXfrm>
        <a:off x="698997" y="580757"/>
        <a:ext cx="176912" cy="172966"/>
      </dsp:txXfrm>
    </dsp:sp>
    <dsp:sp modelId="{67B296BE-D78C-4CD1-AF92-C0CA4F46EC38}">
      <dsp:nvSpPr>
        <dsp:cNvPr id="0" name=""/>
        <dsp:cNvSpPr/>
      </dsp:nvSpPr>
      <dsp:spPr>
        <a:xfrm>
          <a:off x="313639" y="541770"/>
          <a:ext cx="250484" cy="237006"/>
        </a:xfrm>
        <a:prstGeom prst="ellipse">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r" defTabSz="488950">
            <a:lnSpc>
              <a:spcPct val="90000"/>
            </a:lnSpc>
            <a:spcBef>
              <a:spcPct val="0"/>
            </a:spcBef>
            <a:spcAft>
              <a:spcPct val="35000"/>
            </a:spcAft>
          </a:pPr>
          <a:endParaRPr lang="en-US" sz="1100" b="1" kern="1200" dirty="0"/>
        </a:p>
      </dsp:txBody>
      <dsp:txXfrm>
        <a:off x="350322" y="576479"/>
        <a:ext cx="177118" cy="167588"/>
      </dsp:txXfrm>
    </dsp:sp>
    <dsp:sp modelId="{43699960-BB39-406A-ACE2-5D59E846A7CA}">
      <dsp:nvSpPr>
        <dsp:cNvPr id="0" name=""/>
        <dsp:cNvSpPr/>
      </dsp:nvSpPr>
      <dsp:spPr>
        <a:xfrm>
          <a:off x="218726" y="245150"/>
          <a:ext cx="244073" cy="238631"/>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r" defTabSz="622300">
            <a:lnSpc>
              <a:spcPct val="90000"/>
            </a:lnSpc>
            <a:spcBef>
              <a:spcPct val="0"/>
            </a:spcBef>
            <a:spcAft>
              <a:spcPct val="35000"/>
            </a:spcAft>
          </a:pPr>
          <a:endParaRPr lang="en-US" sz="1400" b="1" kern="1200" dirty="0"/>
        </a:p>
      </dsp:txBody>
      <dsp:txXfrm>
        <a:off x="254470" y="280097"/>
        <a:ext cx="172585" cy="16873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Teacher Toolkit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326117-AFFC-40B7-AA47-C955116E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Jones-Layman</dc:creator>
  <cp:lastModifiedBy>amanda</cp:lastModifiedBy>
  <cp:revision>2</cp:revision>
  <cp:lastPrinted>2016-05-06T19:30:00Z</cp:lastPrinted>
  <dcterms:created xsi:type="dcterms:W3CDTF">2016-06-17T18:26:00Z</dcterms:created>
  <dcterms:modified xsi:type="dcterms:W3CDTF">2016-06-17T18:26:00Z</dcterms:modified>
</cp:coreProperties>
</file>